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兴银理财睿盈优选平衡8号混合类净值型理财产品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兴银理财睿盈优选平衡8号混合类净值型理财产品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877,203,298.45份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中债-新综合财富（1年以下）指数收益率×75%+沪深300指数收益率×25%/--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产品9K220008自成立日以来，累计净值增长率为1.8590%，年化累计净值增长率为0.7728%。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0.99859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1.01859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875,967,571.54</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基于对权益市场整体向好的判断，维持中枢偏上仓位运作，净值有所上涨。</w:t>
            </w:r>
            <w:r>
              <w:rPr>
                <w:rFonts w:ascii="宋体" w:hAnsi="宋体" w:eastAsia="宋体" w:cs="宋体"/>
                <w:color w:val="000000"/>
                <w:sz w:val="21"/>
              </w:rPr>
              <w:br w:type="textWrapping"/>
            </w:r>
            <w:r>
              <w:rPr>
                <w:rFonts w:ascii="宋体" w:hAnsi="宋体" w:eastAsia="宋体" w:cs="宋体"/>
                <w:color w:val="000000"/>
                <w:sz w:val="21"/>
              </w:rPr>
              <w:t xml:space="preserve">    展望未来，经济仍处于弱复苏通道，整体估值不贵，仓位将维持积极。结构相对均衡，立足寻找注重安全边际有优秀选股和交易能力的基金品种。行业主题方面，关注AI相关方面产业趋势和投资机会，及关注需求端较为确定的医药行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100,027,042.18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69,282,696.39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50,019,281.47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50,019,244.48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30,004,002.74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25,076,844.18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银华鑫盛灵活C 014048.OF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21,691,211.09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富国新动力C 001510.OF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18,582,776.37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中欧养老产业混合型证券投资基金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16,917,779.67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华安智能生活C（013621.OF）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14,738,164.55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684" w:type="dxa"/>
                    <w:tblInd w:w="0" w:type="dxa"/>
                    <w:tblLayout w:type="fixed"/>
                    <w:tblCellMar>
                      <w:top w:w="0" w:type="dxa"/>
                      <w:left w:w="10" w:type="dxa"/>
                      <w:bottom w:w="0" w:type="dxa"/>
                      <w:right w:w="10" w:type="dxa"/>
                    </w:tblCellMar>
                  </w:tblPr>
                  <w:tblGrid>
                    <w:gridCol w:w="10684"/>
                  </w:tblGrid>
                  <w:tr>
                    <w:tblPrEx>
                      <w:tblCellMar>
                        <w:top w:w="0" w:type="dxa"/>
                        <w:left w:w="10" w:type="dxa"/>
                        <w:bottom w:w="0" w:type="dxa"/>
                        <w:right w:w="10" w:type="dxa"/>
                      </w:tblCellMar>
                    </w:tblPrEx>
                    <w:trPr>
                      <w:trHeight w:val="600" w:hRule="atLeast"/>
                    </w:trPr>
                    <w:tc>
                      <w:tcPr>
                        <w:tcW w:w="10684" w:type="dxa"/>
                        <w:tcMar>
                          <w:top w:w="0" w:type="dxa"/>
                          <w:left w:w="0" w:type="dxa"/>
                          <w:bottom w:w="0" w:type="dxa"/>
                          <w:right w:w="0" w:type="dxa"/>
                        </w:tcMar>
                        <w:vAlign w:val="center"/>
                      </w:tcPr>
                      <w:p>
                        <w:pPr>
                          <w:jc w:val="center"/>
                        </w:pPr>
                        <w:r>
                          <w:rPr>
                            <w:rFonts w:ascii="宋体" w:hAnsi="宋体" w:eastAsia="宋体" w:cs="宋体"/>
                            <w:color w:val="000000"/>
                            <w:sz w:val="21"/>
                          </w:rPr>
                          <w:t>无</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051010100101095635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兴银理财睿盈优选平衡8号混合类净值型理财产品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8091977"/>
    <w:rsid w:val="4EDC5641"/>
    <w:rsid w:val="558C2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2023-04-21T03:00:09Z</dcterms:created>
  <dc:creator>User</dc:creator>
  <cp:lastModifiedBy>cib</cp:lastModifiedBy>
  <dcterms:modified xsi:type="dcterms:W3CDTF">2023-04-21T03:00:43Z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