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兴银理财睿盈优选平衡9号混合类净值型理财产品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2"/>
          </w:tcPr>
          <w:p>
            <w:pPr>
              <w:pStyle w:val="4"/>
            </w:pPr>
          </w:p>
        </w:tc>
        <w:tc>
          <w:tcPr>
            <w:gridSpan w:val="4"/>
          </w:tcPr>
          <w:p>
            <w:pPr>
              <w:pStyle w:val="4"/>
            </w:pPr>
          </w:p>
        </w:tc>
        <w:tc>
          <w:p>
            <w:pPr>
              <w:pStyle w:val="4"/>
            </w:pPr>
          </w:p>
        </w:tc>
      </w:tr>
      <w:tr>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兴银理财睿盈优选平衡9号混合类净值型理财产品2023年第一季度报告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兴银理财睿盈优选平衡9号混合类净值型理财产品</w:t>
            </w:r>
          </w:p>
        </w:tc>
        <w:tc>
          <w:p>
            <w:pPr>
              <w:pStyle w:val="4"/>
            </w:pPr>
          </w:p>
        </w:tc>
      </w:tr>
      <w:tr>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9K220009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Z7002020000157</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450,978,620.04份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产品9K220009自成立日以来，累计净值增长率为0.0440%，年化累计净值增长率为0.0192%。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0.99044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1.00044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446,668,458.57</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吕承应女士，北京大学统计学学士、经济学双学士，北京大学经济学硕士、新加坡国立大学金融工程硕士，2017年加入兴业银行，具有5年FOF/MOM投资研究经验。现任兴银理财权益投资经理。</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目前国内呈现弱复苏状态，经济预期不能过分乐观，但近期国常会强调当前经济恢复正处于关键期，会进一步稳定市场预期，提振发展信心，巩固拓展向好势头，推动经济运行持续整体好转。政策对于经济增长的重视逐渐明确，经济恢复也不会特别差，预计仍处于结构转型的高质量发展过程。后续关注4月份即将召开的政治局会议、国内进一步经济修复的情况、政策落实情况等。</w:t>
            </w:r>
            <w:r>
              <w:rPr>
                <w:rFonts w:ascii="宋体" w:hAnsi="宋体" w:eastAsia="宋体" w:cs="宋体"/>
                <w:color w:val="000000"/>
                <w:sz w:val="21"/>
              </w:rPr>
              <w:br w:type="textWrapping"/>
            </w:r>
            <w:r>
              <w:rPr>
                <w:rFonts w:ascii="宋体" w:hAnsi="宋体" w:eastAsia="宋体" w:cs="宋体"/>
                <w:color w:val="000000"/>
                <w:sz w:val="21"/>
              </w:rPr>
              <w:t xml:space="preserve">    行业方面，1、重点关注自主可控与高端制造这类具有中长期维度的结构性机会。2、关注科技成长机会，虽板块近期情绪较热，但考虑到产业发生较大变化，中长期维度存在机会，积极选择注重安全边际、个股研究深度与高频跟踪、操作较灵活的产品，整体维持逆向操作。3、看好估值较为合理、基本面较为稳健、有疫后复苏逻辑的医药消费板块。4、关注港股、红利低波类资产以及与经济复苏相关性较高的价值周期板块。</w:t>
            </w:r>
            <w:r>
              <w:rPr>
                <w:rFonts w:ascii="宋体" w:hAnsi="宋体" w:eastAsia="宋体" w:cs="宋体"/>
                <w:color w:val="000000"/>
                <w:sz w:val="21"/>
              </w:rPr>
              <w:br w:type="textWrapping"/>
            </w:r>
            <w:r>
              <w:rPr>
                <w:rFonts w:ascii="宋体" w:hAnsi="宋体" w:eastAsia="宋体" w:cs="宋体"/>
                <w:color w:val="000000"/>
                <w:sz w:val="21"/>
              </w:rPr>
              <w:t xml:space="preserve">    当前组合仓位在中枢附近，结构维持相对均衡，兼顾港股、医药消费、价值周期、高端制造以及科技成长类资产。面对多变的市场环境，需要结合估值情况与景气变化适时做部分高低切换。</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6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p>
            <w:pPr>
              <w:pStyle w:val="4"/>
            </w:pPr>
          </w:p>
        </w:tc>
        <w:tc>
          <w:tcPr>
            <w:gridSpan w:val="4"/>
          </w:tcPr>
          <w:p>
            <w:pPr>
              <w:pStyle w:val="4"/>
            </w:pPr>
          </w:p>
        </w:tc>
        <w:tc>
          <w:p>
            <w:pPr>
              <w:pStyle w:val="4"/>
            </w:pPr>
          </w:p>
        </w:tc>
        <w:tc>
          <w:tcPr>
            <w:gridSpan w:val="2"/>
          </w:tcPr>
          <w:p>
            <w:pPr>
              <w:pStyle w:val="4"/>
            </w:pPr>
          </w:p>
        </w:tc>
        <w:tc>
          <w:p>
            <w:pPr>
              <w:pStyle w:val="4"/>
            </w:pPr>
          </w:p>
        </w:tc>
      </w:tr>
      <w:tr>
        <w:trPr>
          <w:gridAfter w:val="4"/>
          <w:wAfter w:w="40" w:type="dxa"/>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兴银理财睿盈优选平衡9号混合类净值型理财产品2023年第一季度报告</w:t>
            </w:r>
          </w:p>
        </w:tc>
        <w:tc>
          <w:p>
            <w:pPr>
              <w:pStyle w:val="4"/>
            </w:pPr>
          </w:p>
        </w:tc>
      </w:tr>
      <w:tr>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wAfter w:w="4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wAfter w:w="4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60,028,529.76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Z存放同业（线上）20230307007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50,092,014.00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40,019,092.24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光大优1（光大银行优先股）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20,753,719.73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22两江01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20,340,089.04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20,269,279.23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20,127,172.05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工商银行活期存款（南京）</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20,018,611.09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兴业中证同业存单AAA指数7天持有期证券投资基金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15,027,000.00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华泰柏瑞享利C 003592.OF</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10,585,713.19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26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兴银理财睿盈优选平衡9号混合类净值型理财产品2023年第一季度报告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9K220009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21佛燃能源MTN002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68"/>
                  </w:tblGrid>
                  <w:tr>
                    <w:trPr>
                      <w:trHeight w:val="600" w:hRule="atLeast"/>
                    </w:trPr>
                    <w:tc>
                      <w:tcPr>
                        <w:tcW w:w="10668" w:type="dxa"/>
                        <w:tcMar>
                          <w:top w:w="0" w:type="dxa"/>
                          <w:left w:w="0" w:type="dxa"/>
                          <w:bottom w:w="0" w:type="dxa"/>
                          <w:right w:w="0" w:type="dxa"/>
                        </w:tcMar>
                        <w:vAlign w:val="center"/>
                      </w:tcPr>
                      <w:p>
                        <w:pPr>
                          <w:jc w:val="center"/>
                        </w:pPr>
                        <w:r>
                          <w:rPr>
                            <w:rFonts w:ascii="宋体" w:hAnsi="宋体" w:eastAsia="宋体" w:cs="宋体"/>
                            <w:color w:val="000000"/>
                            <w:sz w:val="21"/>
                          </w:rPr>
                          <w:t>无</w:t>
                        </w:r>
                        <w:bookmarkStart w:id="6" w:name="_GoBack"/>
                        <w:bookmarkEnd w:id="6"/>
                      </w:p>
                    </w:tc>
                  </w:tr>
                </w:tbl>
                <w:p>
                  <w:pPr>
                    <w:pStyle w:val="4"/>
                  </w:pPr>
                </w:p>
              </w:tc>
            </w:tr>
          </w:tbl>
          <w:p>
            <w:pPr>
              <w:pStyle w:val="4"/>
            </w:pPr>
          </w:p>
        </w:tc>
        <w:tc>
          <w:tcPr>
            <w:gridSpan w:val="4"/>
          </w:tcPr>
          <w:p>
            <w:pPr>
              <w:pStyle w:val="4"/>
            </w:pPr>
          </w:p>
        </w:tc>
        <w:tc>
          <w:p>
            <w:pPr>
              <w:pStyle w:val="4"/>
            </w:pPr>
          </w:p>
        </w:tc>
      </w:tr>
      <w:tr>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051010100101095753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兴银理财睿盈优选平衡9号混合类净值型理财产品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rPr>
          <w:trHeight w:val="54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6</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0A0E0318"/>
    <w:rsid w:val="15F81E33"/>
    <w:rsid w:val="312A74C5"/>
    <w:rsid w:val="40316B53"/>
    <w:rsid w:val="7F7B5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2023-04-21T01:55:00Z</dcterms:created>
  <dc:creator>cib</dc:creator>
  <cp:lastModifiedBy>cib</cp:lastModifiedBy>
  <dcterms:modified xsi:type="dcterms:W3CDTF">2023-04-21T03:01:48Z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