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兴银理财睿盈优选平衡10号混合类净值型理财产品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兴银理财睿盈优选平衡10号混合类净值型理财产品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611,923,730.30份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产品9K220010自成立日以来，累计净值增长率为-2.9570%，年化累计净值增长率为-1.3610%。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0.97043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0.97043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593,831,316.74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1、2023年初，有较高的权益仓位，整体获得了权益市场对经济复苏演绎的涨幅。</w:t>
              <w:br/>
              <w:t xml:space="preserve">    2、目前看，国内经济复苏仍然处在弱复苏阶段，通胀水平较低。海外市场衰退与通胀之间的矛盾愈演愈烈，年初美联储坚定选择保通胀，加息超预期，但是在硅谷银行事件后，政策开始转向鸽派。全年看，国内经济复苏的程度和海外流动性的预期方向，是宏观上需要持续关注的问题。对整体仓位做一些应对。23年产品仓位趋于灵活。</w:t>
              <w:br/>
              <w:t xml:space="preserve">    3、结构上，目前在经济弱复苏，海外流动性趋宽松的背景下，看好需求端更为确定的医药行业，同时在基金选择上，偏好注重安全边际、注重估值的偏向价值的基金品种。在成长行业中，关注半导体板块全球周期反转向上的投资机会。另外，AI相关的行业浪潮是超预期发生的，会关注其中的产业趋势和投资机会，但是做到不追高，选择有业绩的，避免纯炒作的。争取在市场轮动中，获得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70,262,897.81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20,123,222.28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16,065,552.79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华泰柏瑞积极优选股票型证券投资基金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10,268,350.84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华安智能生活C（013621.OF）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10,244,107.03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万家健康产业混合型证券投资基金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10,097,272.73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10,089,087.29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10,075,450.34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国泰智能装备( 001576.OF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10,071,905.82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10,063,439.42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