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兴银理财睿盈年年升8号净值型理财产品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Z7002020000136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831,261,239.64份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兴银睿盈年年升8号A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709,998,766.36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兴银睿盈年年升8号B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9K220228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121,262,473.28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产品9K220128自成立日以来，累计净值增长率为2.6290%，年化累计净值增长率为1.3254%。</w:t>
              <w:br/>
              <w:t xml:space="preserve">产品9K220228自成立日以来，累计净值增长率为2.8330%，年化累计净值增长率为1.4282%。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853,366,209.34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728,667,986.86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124,698,222.48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谢若嫣，清华大学经济管理学院硕士，曾任保险资管基金研究员，2020年加入兴银理财，任权益投资部投资经理。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年初认为在市场经历一定反弹后，整体估值仍不高，A股处于较好的布局期，中长期看，A股市场的收益率还是来自国内自身的经济发展动力以及企业自身的盈利水平，应积极布局，适当提升权益仓位至中枢附近。判断未来市场大概率震荡向上，应保持仓位的灵活性，做适当的高低切换。</w:t>
              <w:br/>
              <w:br/>
              <w:t xml:space="preserve">    本运期重点关注了： 1、政策方向明确的数字经济及高端制造板块，如计算机等领域 。2、疫后复苏确定性较高的消费板块（消费、出行、医药等）。3、持续受益于政策支持预期向好的地产产链。同时减持交易结构较差、格局恶化的新能源。</w:t>
              <w:br/>
              <w:br/>
              <w:t xml:space="preserve">    后续展望，中期维度看今年权益市场震荡向上，操作上需进行逆向波段操作。短期维度看市场仍处于震荡区间，有待经济基本面的验证。当前市场的交易结构过于极致，TMT板块的持仓与交易量处于阶段性历史高位，存量博弈下市场有一定的脆弱性，短期会控制仓位，保持在20%附近，等市场有一定回调后择机加仓至25%以上。</w:t>
              <w:br/>
              <w:br/>
              <w:t xml:space="preserve">    结构上产业趋势爆发的泛TMT行业较为占优，后续等待回调将增配在泛TMT基金中对产业趋势有前瞻研究、规模较小、交易相对灵活的基金产品；同时，关注美联储加息节奏以及国内宏观经济的回升力度，寻找一些长期优质赛道上如消费医药、顺周期板块中阿尔法资产的逆向买入机会。</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Z深-同业借款20220526001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204,816,779.58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110,031,108.94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12.89</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90,025,455.56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70,019,845.10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21皖能源MTN001(碳中和债)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62,947,827.12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60,017,040.02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60,008,632.13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21广电02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31,108,091.10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21国元01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30,273,445.89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华泰柏瑞富利C 014597.OF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21,811,958.89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051010100101185009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兴银理财睿盈年年升8号净值型理财产品</w:t>
                        </w:r>
                      </w:p>
                    </w:tc>
                  </w:tr>
                </w:tbl>
                <w:p>
                  <w:pPr>
                    <w:pStyle w:val="EMPTY_CELL_STYLE"/>
                  </w:pPr>
                </w:p>
              </w:tc>
            </w:tr>
          </w:tbl>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