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兴银理财ESG悦动10号净值型理财产品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335,464,403.14份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悦动（纯享款）6M定开</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335,464,403.14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产品9K22019A自成立日以来，累计净值增长率为1.0730%，年化累计净值增长率为3.6948%。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339,065,474.38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339,065,474.38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110%固收+1%以内套保策略。产品目前久期0.4年，杠杆120%。一季度产品运行较为稳健，目前随着债券价格的反弹，产品收益较为稳定。产品目前还有1个多月打开，目前对持仓没有做大的调整。展望后市，目前市场仍然处于复苏的初期。利率大概率在一季度数据公布后下行明显，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202,319,824.51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22太仓水务SCP007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19,213,302.85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18,191,443.32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10,379,313.97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10,342,703.56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10,315,040.27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22蓝星CP001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10,203,146.03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10,175,913.01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22桐昆控股SCP006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10,159,196.71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22锡山经开SCP005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10,105,693.01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