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31,023,210.75份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悦动（纯享款）封闭式</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31,023,210.75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产品9K22020A自成立日以来，累计净值增长率为1.1560%，年化累计净值增长率为4.2620%。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31,381,984.68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31,381,984.68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展望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6,055,840.56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6,047,880.25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2,002,602.70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21新城控股MTN001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1,584,320.23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1,541,408.95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1,540,894.42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1,539,755.50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1,533,236.27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1,529,646.81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1,528,830.28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