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兴银理财悦动增强18个月2号定期开放固收类理财产品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兴银理财悦动增强18个月2号定期开放固收类理财产品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432,716,782.39份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432,716,782.39</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产品9K22042A自成立日以来，累计净值增长率为4.9280%，年化累计净值增长率为5.1246%。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454,039,209.96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454,039,209.96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全年发生了很多超预期的宏观利空事件，如俄乌战争、疫情反复、美联储超预期加息、地产持续暴雷等，对于投资的考验较大。本报告期内，本组合积极调整债券持仓，利用利率衍生品对冲久期风险，利用衍生品参与商品、利率等套利操作。展望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22浙金汇五金ZR001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80,107,128.89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80,040,184.11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55,202,079.17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31,543,058.22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20,519,710.14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19,101,300.55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15,406,926.16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20西汇投资MTN001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12,401,618.63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21景旅03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10,391,499.86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20新天投资PPN001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10,327,055.21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兴银理财悦动增强18个月2号定期开放固收类理财产品2023年第一季度报告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兴银理财悦动增强18个月2号定期开放固收类理财产品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