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298,193,766.89份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3.30%--4.20%/4.20%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产品9K220901自成立日以来，累计净值增长率为9.7260%，年化累计净值增长率为3.8629%。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1.09726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300,867,048.10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一、2023年一季度投资策略与运作回顾</w:t>
              <w:b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br/>
              <w:t xml:space="preserve">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br/>
              <w:br/>
              <w:t xml:space="preserve">二、2023年4月投资策略展望</w:t>
              <w:b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19重庆交投MTN002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15,932,614.32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18张家公资MTN001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10,578,672.88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10,519,107.81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10,450,464.93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10,382,900.96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10,365,513.15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10,305,486.99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10,288,622.60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10,279,034.66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10,239,752.47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