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1,383,743,420.29份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产品9K221003自成立日以来，累计净值增长率为-4.0580%，年化累计净值增长率为-1.9908%。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0.95942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0.95942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1,327,589,764.71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月初以来上证指数基本维持窄幅震荡，期间沪深300指数高位回调近8%，创业板指最大回撤14%。临近一季度末，结合当前市场环境，对二季度可以积极一些，主要考虑以下几个方面：1）二季度经济环境及政策空间均有望好于当前市场预期。2）市场主线有望更为明晰并有助于提升投资者风险偏好，包括人工智能在内的更多产业领域，如高端制造等关注度有望提升。3）海外风险事件仍有不确定性，但若后续应对得当，资本市场关注度最高阶段可能正在过去。上述因素结合当前市场估值仍处于历史中低位，后市环境相对乐观，市场机会大于风险。结构方面，可以关注经济修复主线，如泛消费板块；成长板块方面，人工智能领域的新突破引发投资者高度关注，TMT板块交易额一度占A股达46%，该领域后市有望继续活跃，但近期的交易集中及部分相关公司密集减持可能带来波动风险，受益于政策支持的高端制造等领域关注度有望提升；主题层面关注一带一路、国企估值重塑和数字经济建设等；未来一个月一季报将密集发布，重点关注业绩超预期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1,261,168,900.23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58,531,281.25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