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兴银理财兴合添汇2号混合类净值型理财产品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1,441,814,638.51份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产品9K221004自成立日以来，累计净值增长率为-5.5450%，年化累计净值增长率为-3.5949%。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0.94455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0.94455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1,361,865,843.64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量化策略整体环境友好，本策略取得了较高的超额收益。市场环境方面，2月初以来上证指数基本维持窄幅震荡，期间沪深300指数高位回调近8%，创业板指最大回撤14%，对冲策略有效抵御了市场的波动。考虑到产品属性和市场环境，我们对产品进行了止盈，目前来看取得了较好效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1,235,553,018.64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127,740,331.13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12,767.21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051010100101264918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兴银理财兴合添汇混合类2号净值型理财产品</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兴银理财兴合添汇2号混合类净值型理财产品2023年第一季度报告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