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196,039,547.86份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产品9K221008自成立日以来，累计净值增长率为4.8730%，年化累计净值增长率为3.2999%。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1.04873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202,116,090.66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可转债投资方面，继续发挥管理人在细分资产领域的专业优势，为客户创造更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66,729,820.93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兴全恒裕债券型证券投资基金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5,005,420.34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5,004,684.71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5,003,363.30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5,003,194.06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5,002,189.59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5,001,815.81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4,014,222.31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3,523,603.05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