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兴银理财兴承恒享新盈3号净值型理财产品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104,089,030.68份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新盈私享3号（兴飞跃款）A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104,089,030.68</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产品9D31003A自成立日以来，累计净值增长率为2.8380%，年化累计净值增长率为2.6836%。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104,496,614.98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104,496,614.98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1.2年，杠杆110%。一季度产品运行较为稳健，目前随着债券价格的反弹，产品收益也逐步稳定。同时，产品中加入少量股债风险平价和转债策略，截止3月底也取得了预期内的收益。展望后市，目前市场仍然处于复苏的初期。利率大概率在一季度数据公布后下行明显，反映了短期内经济回暖节奏偏慢。产品配置角度上，债券以1.5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5,106,127.95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4,184,158.52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4,164,060.77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22洛投01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4,098,363.12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4,085,127.18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22胶州湾CP001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4,082,927.84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4,051,316.93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22远东租赁MTN003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4,050,127.45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4,013,029.33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3,558,532.03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22胶州湾CP001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