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407,665,856.96份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产品9H910001自成立日以来，累计净值增长率为29.6540%，年化累计净值增长率为9.5700%。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1.09654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1.29654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447,020,093.72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中国科学院研究生院理学硕士学位，北京大学理学学士学位，获得注册金融分析师（CFA）资格，11年金融投资从业经验。曾在光大银行、平安银行和易方达基金公司从事权益、衍生品和固定收益投资与营销工作。现任兴银理财权益投资部副总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权益仓位的策略是保持高于中枢的水平：年初认为在市场经历一定反弹后，权益市场整体估值仍不高，A股处于较好的布局期，中长期看，A股市场的收益率还是来自国内自身的经济发展动力以及企业自身的盈利水平；年初判断未来市场大概率震荡向上，因此保持原有的高于中枢水平的仓位，切换权益基金品种时尽量保证仓位稳定。</w:t>
              <w:br/>
              <w:t xml:space="preserve">    行业结构方面，重点关注政策方向明确的数字经济及高端制造板块（如计算机半导体）、疫后复苏确定性较高的医药板块、估值较低、负面因素充分消化或出现修复迹象的港股板块，不看好供给格局恶化、市场一致预期较强的新能源板块，对应操作上一季度主要加仓方向是TMT、医药和港股，主要减仓方向是新能源相关的品种。</w:t>
              <w:br/>
              <w:t xml:space="preserve">    具体标的选择上，回避景气打法的基金经理，回避规模较大且过去业绩好的基金经理（容易钝化），切换至主题投资能力强、灵活度较高的基金经理，增加配置选股能力优秀的价值投资经理。</w:t>
              <w:br/>
              <w:t xml:space="preserve">    展望下个季度，在经济弱复苏、货币维持宽松的大背景下，权益市场有较好的投资机会，近期将优先股出售腾出仓位，市场出现机会时进一步提高权益仓位。目前来看潜在的风险点，一是如果美国经济硬着陆对A股和港股情绪冲击较大，如果出现苗头要迅速降低权益仓位；二是中美博弈，已成为长期问题，估计不会成为今年核心矛盾，持续观察。下季度的行业结构策略，继续关注政策支持叠加产业趋势发生变化的数字经济或广义TMT领域，当下交易拥挤，如有回调且原因不是政策或产业趋势发生变化可择机增加配置；看好政策边际缓解、疫情受损且需求刚性的医药板块；经济复苏相关且供给约束较强的上游板块也存在机会，需要密切跟踪经济恢复情况以及美国是否出现硬着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中欧丰泓沪港深A（002685.OF）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35,286,927.86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国泰区位优势混合型证券投资基金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21,510,299.31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建信医疗健康行业股票型证券投资基金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18,750,213.42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建信食品饮料行业股票型证券投资基金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18,029,433.41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汇丰晋信价值先锋股票型证券投资基金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16,761,276.31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南方优享分红灵活配置混合型证券投资基金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15,895,882.32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中欧电子信息产业C 005763.OF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15,645,312.49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招商3年封闭运作瑞利灵活配置混合型证券投资基金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14,078,855.88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诺安优选回报灵活配置混合型证券投资基金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13,955,848.54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中庚价值先锋股票型证券投资基金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13,910,302.38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