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兴银理财ESG兴动绿色发展混合类净值型理财产品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兴银理财ESG兴动绿色发展混合类净值型理财产品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11,800,823,916.05份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兴银ESG兴动绿色发展A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7,210,952,498.81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兴银ESG兴动绿色发展C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4,589,871,417.24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产品9K22104A自成立日以来，累计净值增长率为-5.6590%，年化累计净值增长率为-3.9120%。</w:t>
              <w:br/>
              <w:t xml:space="preserve">产品9K22104C自成立日以来，累计净值增长率为-6.2780%，年化累计净值增长率为-4.3399%。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11,104,592,855.05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6,802,880,449.92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4,301,712,405.13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绿色发展债券部分，有权行权久期为1.0-2.0年，2023年整体经济将处于弱复苏阶段，维持中性久期，并择机博弈市场机会，结构上，从城投往产业上转，对城投而言，地方政府紧绷的神经可能放松，估值压力存在，产业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向，周期整体是景气向上，盈利改善，估值更有利。权益部分将重点把握两大类投资主线。一是景气持续向好的行业，主要集中在电动车、新能源、军工和半导体等这些方向，虽然这些行业今年跌幅较大，但行业的高增长仍将延续，需求也很明确，随着今年的调整，估值也都处于历史低位，投资性价比凸显。二，具有长期竞争力的公司，行业慢慢从周期底部爬升，将迎来战略建仓的机会；比如消费、医药、电子、香港互联网平台这些领域的公司，随着新的消费需求恢复，也将逐渐迎来新的增长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4.1报告期末资产持仓前十基本信息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兴证全球掘金绿色投资集合资产管理计划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2,275,307,800.00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684,464,676.64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498,094,116.47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400,579,263.18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359,866,000.00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348,198,598.15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316,173,000.00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交银施罗德丰晟收益债券型证券投资基金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249,480,553.96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206,024,131.37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4.2报告期末债券持仓前五基本信息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203,475,027.40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202,669,219.18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182,176,005.67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173,435,536.99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21恒健03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172,073,706.58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4.3报告期末股票持仓前十基本信息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002304.SZ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113,948,633.79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601888.SH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84,303,210.65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300413.SZ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57,573,524.35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002821.SZ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54,755,656.13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688099.SH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51,926,347.67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3898.HK</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50,025,450.47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002223.SZ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49,520,624.57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300059.SZ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48,739,709.35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46,135,465.19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603279.SH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45,551,962.64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0"/>
              </w:rPr>
              <w:t xml:space="preserve"> 4.4报告期末基金持仓前十基本信息</w:t>
            </w:r>
          </w:p>
        </w:tc>
        <w:tc>
          <w:tcPr>
     </w:tcPr>
          <w:p>
            <w:pPr>
              <w:pStyle w:val="EMPTY_CELL_STYLE"/>
            </w:pPr>
          </w:p>
        </w:tc>
      </w:tr>
      <w:tr>
        <w:trPr>
          <w:trHeight w:hRule="exact" w:val="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bl>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20汇鑫ABN002优先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21重庆轨交GN006(碳中和债)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兴业收益增强债券A(001257.OF)</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兴银理财ESG兴动绿色发展混合类净值型理财产品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