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兴银理财ESG兴动责任投资混合类净值型理财产品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兴银理财ESG兴动责任投资混合类净值型理财产品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9,460,204,623.18份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兴银ESG兴动责任投资A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5,890,520,527.15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兴银ESG兴动责任投资C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3,569,684,096.03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产品9K22105A自成立日以来，累计净值增长率为-1.2080%，年化累计净值增长率为-0.8697%。</w:t>
              <w:br/>
              <w:t xml:space="preserve">产品9K22105C自成立日以来，累计净值增长率为-1.8190%，年化累计净值增长率为-1.3095%。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9,324,128,086.05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5,819,371,448.56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3,504,756,637.49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4-1/3的位置，23年大概处于弱复苏的阶段，节奏上三阶段，强预期、弱现实，再到政策发力，假设没有黑天鹅，从年尾回头看，虽然不一定大涨，但可能债券、股票都未必弱，因此，债券不宜过于悲观，维持中性久期，保持谨慎心态可能更合适。股票前一阶段走“弱现实，预期转弱”的逻辑，但是市场有GPT的催化，产业周期的驱动使得市场回调不深，热度仍在，当前悲观预期逐步散去，情绪从乐观到悲观，再到理性中偏乐观，近期一系列新政府行为让市场感受到暖意，资本市场和民营企业需要的信心在回来，价值和核心资产与科技成长都存在机会。</w:t>
              <w:br/>
              <w:t xml:space="preserve">二、组合策略。</w:t>
              <w:br/>
              <w:t xml:space="preserve">    责任投资债券部分，有权行权久期为1.0-2.0年，2023年整体经济将处于弱复苏阶段，维持中性久期，并择机博弈市场机会，结构上，从城投往产业上转，对城投而言，地方政府紧绷的神经可能放松，估值压力存在，产业方</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向，周期整体是景气向上，盈利改善，估值更有利。权益部分将重点把握两大类投资主线。权益方面，适当提升仓位水平，重视低估值的国企央企在改革的背景下有重估的可能性，成长板块整体仍面临资金流出压力，但是需求确定的高增长细分板块仍有较好机会，重点关注中游制造、大消费、低估值国企等。 </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4.1报告期末资产持仓前十基本信息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中欧基金优治1号集合资产管理计划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2,371,446,000.00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586,884,285.22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403,810,237.12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398,469,682.05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356,367,377.38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307,250,657.41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303,859,286.92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万家鑫悦纯债A 006172.OF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233,854,731.76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230,361,814.45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214,253,996.16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4.2报告期末债券持仓前五基本信息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356,367,377.38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303,859,286.92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21电科01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202,435,786.30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22贴债57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164,873,229.23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21中泰05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131,829,313.69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4.3报告期末股票持仓前十基本信息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000063.SZ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136,702,806.99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600900.SH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120,302,149.52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688111.SH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115,237,293.60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600031.SH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92,860,529.27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r>
          </w:tbl>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600522.SH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71,974,742.95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002236.SZ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70,234,181.61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300118.SZ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69,795,590.65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000938.SZ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60,703,461.39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300347.SZ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54,093,609.87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00700.HK</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50,910,654.51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w:t>
                        </w:r>
                      </w:p>
                    </w:tc>
                  </w:tr>
                </w:tbl>
                <w:p>
                  <w:pPr>
                    <w:pStyle w:val="EMPTY_CELL_STYLE"/>
                  </w:pPr>
                </w:p>
              </w:tc>
            </w:tr>
          </w:tbl>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0"/>
              </w:rPr>
              <w:t xml:space="preserve"> 4.4报告期末基金持仓前十基本信息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002748.OF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205,161,110.34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004039.OF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180,345,556.65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004787.OF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151,064,399.46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003034.OF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184,830.99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005736.OF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23嘉公路MTN001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兴银理财ESG兴动责任投资混合类净值型理财产品2023年第一季度报告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051010100101291011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兴银理财ESG兴动责任投资混合类净值型理财产品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