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兴银理财增盈稳享封闭式18号固收类理财产品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7,998,471,735.57份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4.60%/4.60%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产品9K240180自成立日以来，累计净值增长率为1.8360%，年化累计净值增长率为2.4280%。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1.01836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1.01836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8,145,341,120.52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5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750,388,095.21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707,317,481.74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8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584,014,101.00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580,192,965.21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22常州城建05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460,208,455.62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22连云港城建11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387,212,701.56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335,689,443.56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302,154,743.43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2022蚂蚁消金0027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231,546,413.10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220,110,506.30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21兴城投资MTN001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