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兴银理财增盈稳享封闭式19号固收类理财产品2023年第一季度报告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兴银理财增盈稳享封闭式19号固收类理财产品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兴银理财增盈稳享封闭式19号固收类理财产品2023年第一季度报告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兴银理财增盈稳享封闭式19号固收类理财产品2023年第一季度报告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兴银理财增盈稳享封闭式19号固收类理财产品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9K240190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Z7002022000202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2,606,250,050.07份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增盈稳享封闭式19号A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9K24019A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1,269,493,042.74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增盈稳享封闭式19号B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9K24019B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1,320,516,292.33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增盈稳享封闭式19号C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9K24019C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16,240,715.00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兴银理财增盈稳享封闭式19号固收类理财产品2023年第一季度报告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产品9K24019A自成立日以来，累计净值增长率为1.7360%，年化累计净值增长率为2.3732%。</w:t>
            </w:r>
            <w:r>
              <w:rPr>
                <w:rFonts w:ascii="宋体" w:hAnsi="宋体" w:eastAsia="宋体" w:cs="宋体"/>
                <w:color w:val="000000"/>
                <w:sz w:val="21"/>
              </w:rPr>
              <w:br w:type="textWrapping"/>
            </w:r>
            <w:r>
              <w:rPr>
                <w:rFonts w:ascii="宋体" w:hAnsi="宋体" w:eastAsia="宋体" w:cs="宋体"/>
                <w:color w:val="000000"/>
                <w:sz w:val="21"/>
              </w:rPr>
              <w:t>产品9K24019B自成立日以来，累计净值增长率为1.8110%，年化累计净值增长率为2.4757%。</w:t>
            </w:r>
            <w:r>
              <w:rPr>
                <w:rFonts w:ascii="宋体" w:hAnsi="宋体" w:eastAsia="宋体" w:cs="宋体"/>
                <w:color w:val="000000"/>
                <w:sz w:val="21"/>
              </w:rPr>
              <w:br w:type="textWrapping"/>
            </w:r>
            <w:r>
              <w:rPr>
                <w:rFonts w:ascii="宋体" w:hAnsi="宋体" w:eastAsia="宋体" w:cs="宋体"/>
                <w:color w:val="000000"/>
                <w:sz w:val="21"/>
              </w:rPr>
              <w:t>产品9K24019C自成立日以来，累计净值增长率为1.6250%，年化累计净值增长率为2.2214%。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2,652,466,488.39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9K24019A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1,291,536,622.91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9K24019B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1,344,425,196.11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9K24019C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16,504,669.37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1、回顾市场，从整个经济周期的角度来看，去年12月份起经济逐步开始复苏，再叠加疫情政策的逐步放开，市场开始交易经济强复苏的逻辑，消费和新能源等板块逐步轮番有所表现，但是从中美库存周期和中长期贷款的角度来看，今年更像历史上的13年和19年，即市场仍然处在中美共同去库存的阶段时经济会更偏弱复苏的迹象，回顾19年，权益市场在一季度估值修复了一波，之后的2-4季度整体处于震荡的行情，而到了2020年中美同时处于补库存的状态才迎来权益市场整体的贝塔上涨行情，以消费为代表的价值股和以新能源为代表的成长股均表现不错，因此对于2023年而言，权益市场也大概率处于结构性行情的阶段，一季度表现好的是计算机、通讯、电子等行业，其他行业整体情绪面仍然处于较弱的位置，因此二三季度依然是权益市场较好的建仓机会。</w:t>
            </w:r>
            <w:r>
              <w:rPr>
                <w:rFonts w:ascii="宋体" w:hAnsi="宋体" w:eastAsia="宋体" w:cs="宋体"/>
                <w:color w:val="000000"/>
                <w:sz w:val="21"/>
              </w:rPr>
              <w:br w:type="textWrapping"/>
            </w:r>
            <w:r>
              <w:rPr>
                <w:rFonts w:ascii="宋体" w:hAnsi="宋体" w:eastAsia="宋体" w:cs="宋体"/>
                <w:color w:val="000000"/>
                <w:sz w:val="21"/>
              </w:rPr>
              <w:t xml:space="preserve">    2、从组合策略来看，权益方面，弱复苏阶段对权益的配置会依然保持均衡配置，二三季度会增配一些业绩稳定性和连续性更确定的行业，债券方面，主要以票息策略为主，提高杠杆来增厚收益。</w:t>
            </w:r>
          </w:p>
        </w:tc>
        <w:tc>
          <w:tcPr>
            <w:gridSpan w:val="4"/>
          </w:tcPr>
          <w:p>
            <w:pPr>
              <w:pStyle w:val="4"/>
            </w:pPr>
          </w:p>
        </w:tc>
        <w:tc>
          <w:p>
            <w:pPr>
              <w:pStyle w:val="4"/>
            </w:pPr>
          </w:p>
        </w:tc>
      </w:tr>
      <w:tr>
        <w:tblPrEx>
          <w:tblCellMar>
            <w:top w:w="0" w:type="dxa"/>
            <w:left w:w="10" w:type="dxa"/>
            <w:bottom w:w="0" w:type="dxa"/>
            <w:right w:w="10" w:type="dxa"/>
          </w:tblCellMar>
        </w:tblPrEx>
        <w:trPr>
          <w:trHeight w:val="2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兴银理财增盈稳享封闭式19号固收类理财产品2023年第一季度报告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8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16.19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代客境外理财投资QDII</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金融衍生品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42.87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3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兴银理财增盈稳享封闭式19号固收类理财产品2023年第一季度报告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7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2022蚂蚁消金0029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231,163,105.50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中原信托—一方恒融2022桃源一号（第2期）—绿城集团（杭州分行）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206,673,007.85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7.79</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世纪证券"世纪稳盈"C3号保本固定收益凭证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205,252,876.61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7.74</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22鄞城集团02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199,757,686.68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中原信托-联易融保理应收账款债权2号（第1期）—广州城建（广州分行）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150,159,189.43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5.66</w:t>
                        </w:r>
                      </w:p>
                    </w:tc>
                  </w:tr>
                </w:tbl>
                <w:p>
                  <w:pPr>
                    <w:pStyle w:val="4"/>
                  </w:pPr>
                </w:p>
              </w:tc>
            </w:tr>
            <w:tr>
              <w:trPr>
                <w:trHeight w:val="6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7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云南信托-好景27号单一资金信托-恒逸石化可转债优先配售融资业务（浙江恒逸集团有限公司）</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138,172,129.14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101,333,596.76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华夏中债1-3年政策性金融债指数证券投资基金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86,317,034.61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兴瀚资管兴添翼22号集合资产管理计划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81,789,970.71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22海曙广聚SCP003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71,069,770.68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18中国航材MTN001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21常德城投PPN001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21胶州湾MTN001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21厦国贸控MTN001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22海立MTN001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22辽成大CP002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22闽建工SCP002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22深燃气SCP004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兴银理财增盈稳享封闭式19号固收类理财产品2023年第一季度报告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兴业信托·兴享稳健睿郡2号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兴业国际信托有限公司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051010100101418413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兴银理财增盈稳享封闭式19号固收类理财产品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7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76522F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2023-04-21T02:58:23Z</dcterms:created>
  <dc:creator>cib</dc:creator>
  <cp:lastModifiedBy>cib</cp:lastModifiedBy>
  <dcterms:modified xsi:type="dcterms:W3CDTF">2023-04-21T02:59:36Z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