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兴银理财增盈稳享封闭式25号固收类理财产品2023年第一季度报告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兴银理财增盈稳享封闭式25号固收类理财产品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兴银理财增盈稳享封闭式25号固收类理财产品2023年第一季度报告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兴银理财增盈稳享封闭式25号固收类理财产品2023年第一季度报告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兴银理财增盈稳享封闭式25号固收类理财产品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9K240250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Z7002022000208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1,604,061,652.37份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702,837,735.48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增盈稳享封闭式25号B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900,433,700.56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增盈稳享封闭式25号C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9K24025C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790,216.33</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兴银理财增盈稳享封闭式25号固收类理财产品2023年第一季度报告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产品9K24025A自成立日以来，累计净值增长率为1.1400%，年化累计净值增长率为1.7706%。</w:t>
              <w:br/>
              <w:t xml:space="preserve">产品9K24025B自成立日以来，累计净值增长率为1.2050%，年化累计净值增长率为1.8716%。</w:t>
              <w:br/>
              <w:t xml:space="preserve">产品9K24025C自成立日以来，累计净值增长率为1.0430%，年化累计净值增长率为1.6200%。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1,622,934,163.92</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710,851,388.21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911,284,317.68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9K24025C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798,458.03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第一季度，权益市场方面，整体呈现震荡的态势，结构分化严重；债市在去年四季度大幅调整之后快速修复，体现债市对后期经济基本面的悲观预期。本报告期内，本组合积极调整债券持仓，利用利率衍生品对冲久期风险（未来可能利率上行风险），此外对权益资产进行积极调整行业结构，存量市场博弈下重结构轻仓位。本组合净值在本报告期内相对表现较好。展望今年，内外部环境都边际好转，有利于资产价格，中长期看好权益市场，债市收益率偏震荡重视票息策略。本组合将继续积极主动管理好大类资产的配置策略并精细化选择类属资产。</w:t>
              <w:br/>
            </w:r>
          </w:p>
        </w:tc>
        <w:tc>
          <w:tcPr>
     </w:tcPr>
          <w:p>
            <w:pPr>
              <w:pStyle w:val="EMPTY_CELL_STYLE"/>
            </w:pPr>
          </w:p>
        </w:tc>
        <w:tc>
          <w:tcPr>
     </w:tcPr>
          <w:p>
            <w:pPr>
              <w:pStyle w:val="EMPTY_CELL_STYLE"/>
            </w:pPr>
          </w:p>
        </w:tc>
      </w:tr>
      <w:tr>
        <w:trPr>
          <w:trHeight w:hRule="exact" w:val="1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兴银理财增盈稳享封闭式25号固收类理财产品2023年第一季度报告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兴银理财增盈稳享封闭式25号固收类理财产品2023年第一季度报告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7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22宜昌交旅01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177,979,316.75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22宜兴经开02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167,408,905.22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22扬子国资01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130,288,949.04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云南信托-博望4号单一资金信托-密尔克卫可转债优先配售融资业务（李仁莉）</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112,165,527.17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101,197,489.04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100,617,760.62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22常熟经开01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100,372,808.22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南方基金兴元海外1号集合资产管理计划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59,946,444.52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云南信托-博安3号单一资金信托-爱柯迪可转债优先配售融资业务（宁波爱柯迪投资管理有限公司）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50,938,804.66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22常州交通04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50,178,687.67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22晋焦煤MTN002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22紫金矿业MTN004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兴银理财增盈稳享封闭式25号固收类理财产品2023年第一季度报告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051010100101419087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兴银理财增盈稳享封闭式25号固收类理财产品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