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兴银理财增盈稳享封闭式31号固收类理财产品2023年第一季度报告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兴银理财增盈稳享封闭式31号固收类理财产品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兴银理财增盈稳享封闭式31号固收类理财产品2023年第一季度报告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兴银理财增盈稳享封闭式31号固收类理财产品2023年第一季度报告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兴银理财增盈稳享封闭式31号固收类理财产品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9K240310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545,712,603.35份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149,317,239.02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187,335,063.21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丰利增盈稳享31号C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34,310,923.00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兴银理财增盈稳享封闭式31号固收类理财产品2023年第一季度报告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丰利增盈稳享31号（师泽如光）专属款D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174,749,378.12</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产品9K24031A自成立日以来，累计净值增长率为0.7610%，年化累计净值增长率为1.4100%。</w:t>
            </w:r>
            <w:r>
              <w:rPr>
                <w:rFonts w:ascii="宋体" w:hAnsi="宋体" w:eastAsia="宋体" w:cs="宋体"/>
                <w:color w:val="000000"/>
                <w:sz w:val="21"/>
              </w:rPr>
              <w:br w:type="textWrapping"/>
            </w:r>
            <w:r>
              <w:rPr>
                <w:rFonts w:ascii="宋体" w:hAnsi="宋体" w:eastAsia="宋体" w:cs="宋体"/>
                <w:color w:val="000000"/>
                <w:sz w:val="21"/>
              </w:rPr>
              <w:t>产品9K24031B自成立日以来，累计净值增长率为0.8150%，年化累计净值增长率为1.5100%。</w:t>
            </w:r>
            <w:r>
              <w:rPr>
                <w:rFonts w:ascii="宋体" w:hAnsi="宋体" w:eastAsia="宋体" w:cs="宋体"/>
                <w:color w:val="000000"/>
                <w:sz w:val="21"/>
              </w:rPr>
              <w:br w:type="textWrapping"/>
            </w:r>
            <w:r>
              <w:rPr>
                <w:rFonts w:ascii="宋体" w:hAnsi="宋体" w:eastAsia="宋体" w:cs="宋体"/>
                <w:color w:val="000000"/>
                <w:sz w:val="21"/>
              </w:rPr>
              <w:t>产品9K24031C自成立日以来，累计净值增长率为0.6800%，年化累计净值增长率为1.2599%。</w:t>
            </w:r>
            <w:r>
              <w:rPr>
                <w:rFonts w:ascii="宋体" w:hAnsi="宋体" w:eastAsia="宋体" w:cs="宋体"/>
                <w:color w:val="000000"/>
                <w:sz w:val="21"/>
              </w:rPr>
              <w:br w:type="textWrapping"/>
            </w:r>
            <w:r>
              <w:rPr>
                <w:rFonts w:ascii="宋体" w:hAnsi="宋体" w:eastAsia="宋体" w:cs="宋体"/>
                <w:color w:val="000000"/>
                <w:sz w:val="21"/>
              </w:rPr>
              <w:t>产品9K24031D自成立日以来，累计净值增长率为0.8150%，年化累计净值增长率为1.5100%。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550,034,978.96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150,453,920.34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188,862,541.38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34,544,280.99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176,174,236.25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产品运作过程中，坚持以风险平价为主的绝对收益策略，持续跟踪股债性价比并以此为依据动态调整权益仓位比例。春节后权益市场主线逐步清晰，数字经济、中特估、AI、一带一路等板块轮番上涨，尤其是AI相关的行业和板块，成交额一度占比超过50%，一季度TMT板块涨幅达30%以上。ChatGPT的推出大幅推进了AI的进程，AI的智能化出现了突破性的进展，未来在文本、语音、视频等行业会出现颠覆性的应用，因此我们判断AI+在未来很长一段时间会是市场的交易主线，并且有一批公司能够真正受益这次AI的浪潮，甚至会颠覆很多商业模式；从短期看，AI板块的交易过于拥挤，且可能的监管会放缓行业的发展，板块后续有可能出现回调，但长期的发展趋势相对确定，</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兴银理财增盈稳享封闭式31号固收类理财产品2023年第一季度报告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我们</w:t>
            </w:r>
            <w:bookmarkStart w:id="8" w:name="_GoBack"/>
            <w:bookmarkEnd w:id="8"/>
            <w:r>
              <w:rPr>
                <w:rFonts w:ascii="宋体" w:hAnsi="宋体" w:eastAsia="宋体" w:cs="宋体"/>
                <w:color w:val="000000"/>
                <w:sz w:val="21"/>
              </w:rPr>
              <w:t>看好后续真正受益AI产业趋势的板块。宏观经济方面，各项指标全面向好，信贷总量扩张，结构有所改善；消费逐步恢复，但仍未修复到疫情前的水平，食品饮料、社服零售表现较平淡。结构性行情下，新能源板块持续回调，后续业绩兑现尤为重要。海外方面，联储加息进入尾声，但需警惕欧美的产业贸易保护政策。总体来说，逐步改善的经济基本面、充足的流动性预期和颠覆性的科技创新将推动市场逐步上行。</w:t>
            </w:r>
            <w:r>
              <w:rPr>
                <w:rFonts w:ascii="宋体" w:hAnsi="宋体" w:eastAsia="宋体" w:cs="宋体"/>
                <w:color w:val="000000"/>
                <w:sz w:val="21"/>
              </w:rPr>
              <w:br w:type="textWrapping"/>
            </w:r>
            <w:r>
              <w:rPr>
                <w:rFonts w:ascii="宋体" w:hAnsi="宋体" w:eastAsia="宋体" w:cs="宋体"/>
                <w:color w:val="000000"/>
                <w:sz w:val="21"/>
              </w:rPr>
              <w:t xml:space="preserve">    在运作过程中，债券方面我们保持中性久期，权益方面我们积极布局，在一季度取得较好结果。后续我们择机提高组合杠杆提高组合静态收益，权益方面会重点关注受益AI浪潮的公司，择机进一步提升TMT板块的配置水平，另外也重点关注低估值高分红的央国企的重估机会及业绩兑现度高的板块的反弹机会。</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1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兴银理财增盈稳享封闭式31号固收类理财产品2023年第一季度报告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22浦口科学城01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80,408,361.64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云南信托-金匠121号单一资金信托-立昂微可转债优先配售融资业务（王敏文）</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50,719,112.55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兴瀚资管兴添翼22号集合资产管理计划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40,262,649.67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20青城04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30,896,886.17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27,458,640.95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20泰山投资MTN001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20,434,752.88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21福清国资MTN001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20,343,317.26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20南通国投MTN001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20,262,707.87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21荣盛MTN002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18,513,563.18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21华侨城MTN004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18,383,072.30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兴银理财增盈稳享封闭式31号固收类理财产品2023年第一季度报告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21福清国资MTN001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21桂交投MTN003(权益出资)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21南方03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21荣盛MTN002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21武钢集MTN001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21徐州经开PPN002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21中航租赁MTN001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22黄石城发CP003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22龙城发展MTN004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22泉州水务MTN003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051010100101441345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兴银理财增盈稳享封闭式31号固收类理财产品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兴银理财增盈稳享封闭式31号固收类理财产品2023年第一季度报告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53DB65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2023-04-21T02:14:09Z</dcterms:created>
  <dc:creator>cib</dc:creator>
  <cp:lastModifiedBy>cib</cp:lastModifiedBy>
  <dcterms:modified xsi:type="dcterms:W3CDTF">2023-04-21T02:16:09Z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