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兴银理财增盈稳享封闭式34号固收类理财产品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兴银理财增盈稳享封闭式34号固收类理财产品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9K240340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Z7002022000253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1,030,721,605.35份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海峡增盈稳享34号A（福建专属）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9K24034A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407,626,415.07</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海峡增盈稳享34号B（福建专属）</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9K24034B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623,095,190.28</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产品9K24034A自成立日以来，累计净值增长率为0.9440%，年化累计净值增长率为1.7853%。</w:t>
              <w:br/>
              <w:t xml:space="preserve">产品9K24034B自成立日以来，累计净值增长率为0.9700%，年化累计净值增长率为1.8345%。</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1,040,615,264.47</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411,473,698.10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629,141,566.37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胡艳婷女士，英国约克大学经济学硕士（数理方向）。具有10年金融行业从业经验，8年固定收益领域自营投资交易经验，历任江南农商行自营团队负责人，兴银理财投资经理。擅长利率债，衍生品交易，能通过宏观分析与利率策略以及信用价值挖掘为组合做出较稳定的收益。</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季度整体呈现股涨债跌的格局，股债跷跷板效应有所体现。债券方面，一季度初对经济复苏预期较强，之前对地产支持的政策和疫情政策的优化，使得市场对地产投资和消费复苏有较强的预期。年初加大信贷投放也让市场对一季度金融数据预期较高。加上去年底利率大幅上行的伤痕效应，债市表现的易上难下。但随着两会逐渐临近后发现政策没有持续宽松，习主席也要求“不大干快上”，整个市场在前期预计较足的情况下有点落空。3月起债市开始走强，10年利率自高点回落，后又有央行降准，叠加对经济复苏力度不足的担忧，基本回落至接近年初的水平。一季债券策略采用适当错配的策略。一般产品期限+0.5权益方面，自去年12月下旬市场见底反弹后，整体呈现上涨格局，春节前信创，光新，周期等上涨较多，春节后市场主要集中在中特估和AI相关主题，TMT大幅上涨，主导市场行情。一季度权益仓位保持标准位置偏高一点点，。本报告期内，本组合根据市场情况适当调整债券持仓，利用利率衍生品对冲久期风险。对权益资产适当配置并积极调整结构。本组合净值在本报告期内表现尚可。</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金融衍生品</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67.32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26.94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26.94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兴瀚资管兴添翼22号集合资产管理计划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200,964,314.34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22温江兴蓉03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146,352,375.27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22云南机场MTN001(可持续挂钩)</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60,341,682.74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云南信托-金匠201号单一资金信托-蒙泰高新可转债优先配售融资业务（郭清海）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57,905,111.57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云南信托-金匠202号单一资金信托-蒙泰高新可转债优先配售融资业务（郭清海）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57,905,111.57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22扬子国资03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53,400,676.37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22路桥公投MTN001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39,649,503.56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22中建投资MTN002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30,779,877.12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22蓉产02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30,013,304.39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29,040,202.06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20中化工MTN009B</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22国兴投资MTN001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22金茂MTN002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22闽高速MTN009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22天心城投MTN002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22武进经发MTN005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9K240340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兴业期货-兴合4号集合资产管理计划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兴业期货有限公司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兴银理财增盈稳享封闭式34号固收类理财产品2023年第一季度报告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051010100101441600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兴银理财增盈稳享封闭式34号固收类理财产品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1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