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兴银理财增盈稳享封闭式36号固收类理财产品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4,358,730,397.69份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增盈稳享36A-久久重阳</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3,649,368,265.38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增盈稳享36C-久久重阳</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24,914,848.31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增盈稳享36D-久久重阳</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684,447,284.00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产品9K24036A自成立日以来，累计净值增长率为0.7030%，年化累计净值增长率为1.5183%。</w:t>
              <w:br/>
              <w:t xml:space="preserve">产品9K24036C自成立日以来，累计净值增长率为0.5870%，年化累计净值增长率为1.2678%。</w:t>
              <w:br/>
              <w:t xml:space="preserve">产品9K24036D自成立日以来，累计净值增长率为0.6570%，年化累计净值增长率为1.4190%。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4,389,038,215.86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3,675,033,341.49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25,061,214.90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688,943,659.47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二、组合策略。</w:t>
              <w:br/>
              <w:t xml:space="preserve">    增盈稳享36号为封闭式产品，债券部分采用衰竭式久期的配置方式，权益仓位低于5%，结构中，整体配置较为均衡，增加了中特估、TMT等行业配置比例，提升组合进攻性。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518,283,479.64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粤财信托？瑞丰67-1号单一资金信托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441,540,852.20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431,725,212.29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261,138,265.75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201,079,520.55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云南信托-金匠108号单一资金信托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192,608,463.02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22龙城产业06（绿色）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182,674,175.37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168,682,823.34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中原信托-联捷保理应收账款债权4号（第1期）—华发集团（广州分行）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136,496,325.02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114,263,341.79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21新静安MTN002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22中建七局MTN001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051010100101456621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