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953,442,851.81份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兴银众盈私享一年定开1号A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953,442,851.81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产品9K52041A自成立日以来，累计净值增长率为3.6240%，年化累计净值增长率为3.7472%。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987,993,543.67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987,993,543.67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309,010,967.53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渤海信托？2022金雀87号单一资金信托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150,338,529.13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50,888,585.62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40,478,995.62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31,152,269.59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30,891,750.82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30,225,499.31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22阜阳投资PPN001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30,109,260.00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20,694,806.30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22浏阳城乡MTN002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20,630,612.05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20国电MTN001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22阜阳投资PPN001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