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兴银理财兴承恒享众盈十四月定期开放1号固收类理财产品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兴银理财兴承恒享众盈十四月定期开放1号固收类理财产品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9K520810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805,866,554.81份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4.00%--4.50%/4.50%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597,845,883.08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208,020,671.73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产品9K52081A自成立日以来，累计净值增长率为0.9120%，年化累计净值增长率为1.2705%。</w:t>
            </w:r>
            <w:r>
              <w:rPr>
                <w:rFonts w:ascii="宋体" w:hAnsi="宋体" w:eastAsia="宋体" w:cs="宋体"/>
                <w:color w:val="000000"/>
                <w:sz w:val="21"/>
              </w:rPr>
              <w:br w:type="textWrapping"/>
            </w:r>
            <w:r>
              <w:rPr>
                <w:rFonts w:ascii="宋体" w:hAnsi="宋体" w:eastAsia="宋体" w:cs="宋体"/>
                <w:color w:val="000000"/>
                <w:sz w:val="21"/>
              </w:rPr>
              <w:t>产品9K52081B自成立日以来，累计净值增长率为0.9460%，年化累计净值增长率为1.3179%。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813,283,758.86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603,295,809.60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209,987,949.26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r>
            <w:r>
              <w:rPr>
                <w:rFonts w:ascii="宋体" w:hAnsi="宋体" w:eastAsia="宋体" w:cs="宋体"/>
                <w:color w:val="000000"/>
                <w:sz w:val="21"/>
              </w:rPr>
              <w:br w:type="textWrapping"/>
            </w:r>
            <w:r>
              <w:rPr>
                <w:rFonts w:ascii="宋体" w:hAnsi="宋体" w:eastAsia="宋体" w:cs="宋体"/>
                <w:color w:val="000000"/>
                <w:sz w:val="21"/>
              </w:rP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r>
            <w:r>
              <w:rPr>
                <w:rFonts w:ascii="宋体" w:hAnsi="宋体" w:eastAsia="宋体" w:cs="宋体"/>
                <w:color w:val="000000"/>
                <w:sz w:val="21"/>
              </w:rPr>
              <w:br w:type="textWrapping"/>
            </w:r>
            <w:r>
              <w:rPr>
                <w:rFonts w:ascii="宋体" w:hAnsi="宋体" w:eastAsia="宋体" w:cs="宋体"/>
                <w:color w:val="000000"/>
                <w:sz w:val="21"/>
              </w:rP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r>
            <w:r>
              <w:rPr>
                <w:rFonts w:ascii="宋体" w:hAnsi="宋体" w:eastAsia="宋体" w:cs="宋体"/>
                <w:color w:val="000000"/>
                <w:sz w:val="21"/>
              </w:rPr>
              <w:br w:type="textWrapping"/>
            </w:r>
            <w:r>
              <w:rPr>
                <w:rFonts w:ascii="宋体" w:hAnsi="宋体" w:eastAsia="宋体" w:cs="宋体"/>
                <w:color w:val="000000"/>
                <w:sz w:val="21"/>
              </w:rPr>
              <w:t xml:space="preserve">    2月底至3月底期间，央行连续三个月增量续做MLF，宣布降准25BP，市场对流动性的短期担忧消散；两会对经济目标制定较为合理，保有余地，社融、通胀、房地产、进出口等数据涨跌互现，推动市场预期进一步回归；加上</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w:t>
            </w:r>
            <w:bookmarkStart w:id="7" w:name="_GoBack"/>
            <w:bookmarkEnd w:id="7"/>
            <w:r>
              <w:rPr>
                <w:rFonts w:ascii="宋体" w:hAnsi="宋体" w:eastAsia="宋体" w:cs="宋体"/>
                <w:color w:val="000000"/>
                <w:sz w:val="21"/>
              </w:rPr>
              <w:t>财规模企稳，前期积累的欠配压力释放，海外金融风险事件的发酵也推升谨慎情绪，长债利率偏强波动，10Y国债从2.90%缓步下行至2.85%。</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二、2023年二季度展望与投资策略</w:t>
            </w:r>
            <w:r>
              <w:rPr>
                <w:rFonts w:ascii="宋体" w:hAnsi="宋体" w:eastAsia="宋体" w:cs="宋体"/>
                <w:color w:val="000000"/>
                <w:sz w:val="21"/>
              </w:rPr>
              <w:br w:type="textWrapping"/>
            </w:r>
            <w:r>
              <w:rPr>
                <w:rFonts w:ascii="宋体" w:hAnsi="宋体" w:eastAsia="宋体" w:cs="宋体"/>
                <w:color w:val="000000"/>
                <w:sz w:val="21"/>
              </w:rPr>
              <w:t>1、2023年二季度展望</w:t>
            </w:r>
            <w:r>
              <w:rPr>
                <w:rFonts w:ascii="宋体" w:hAnsi="宋体" w:eastAsia="宋体" w:cs="宋体"/>
                <w:color w:val="000000"/>
                <w:sz w:val="21"/>
              </w:rPr>
              <w:br w:type="textWrapping"/>
            </w: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22无锡城建02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85,492,457.40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22浙湖州城市ZR001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80,496,488.89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50,733,843.84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22常州交通04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50,178,687.67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21江东03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31,124,590.28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30,388,658.63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21西海发展PPN002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20,900,843.01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22洪山城投MTN001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20,555,586.85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20,550,690.96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21滨湖建设MTN001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20,546,511.78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21滨湖建设MTN001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22海通恒信MTN001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051010100101438488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B487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2023-04-20T08:25:13Z</dcterms:created>
  <dc:creator>cib</dc:creator>
  <cp:lastModifiedBy>cib</cp:lastModifiedBy>
  <dcterms:modified xsi:type="dcterms:W3CDTF">2023-04-20T08:26:43Z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