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936,555,977.67份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523,026,771.00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134,890,000.00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278,639,206.67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产品9K77701A自成立日以来，累计净值增长率为3.3220%，年化累计净值增长率为3.9755%。</w:t>
              <w:br/>
              <w:t xml:space="preserve">产品9K77701B自成立日以来，累计净值增长率为3.4150%，年化累计净值增长率为4.0868%。</w:t>
              <w:br/>
              <w:t xml:space="preserve">产品9K77701C自成立日以来，累计净值增长率为3.3990%，年化累计净值增长率为4.0677%。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968,004,993.94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540,399,760.96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139,496,444.92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288,108,788.06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二、组合策略。</w:t>
              <w:br/>
              <w:t xml:space="preserve">    兴承恒享1号采用高仓位债券资产，久期1-2年；权益仓位10%，结构中，整体配置较为均衡，增加了中特估、TMT等行业配置比例，提升组合进攻性，CTA等衍生品仓位5%。</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160,557,242.74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22江津华信02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125,439,256.85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22新中泰集团ZR003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93,248,992.00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22安吉两山02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71,915,234.74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23南通高新MTN001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50,789,760.96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23中华企业MTN001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50,458,634.93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23宁海城投PPN001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39,908,385.36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30,281,334.66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30,031,272.86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浦银安盛双债增强A 006466.OF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30,017,211.84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051010100101414557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