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兴银理财增盈优选28号净值型理财产品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607,985,268.6份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5.60%/5.60%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607,985,268.60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产品9K221128自成立日以来，累计净值增长率为4.1160%，年化累计净值增长率为3.9535%。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633,010,863.93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633,010,863.93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此外对权益资产进行积极调整行业结构。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182,581,020.00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111,270,801.37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62,628,780.00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51,680,713.93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20,506,898.08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20,381,155.07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20,275,856.16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20,159,713.48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15,062,760.57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13,520,259.76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兴银理财增盈优选28号净值型理财产品</w:t>
                        </w:r>
                      </w:p>
                    </w:tc>
                  </w:tr>
                </w:tbl>
                <w:p>
                  <w:pPr>
                    <w:pStyle w:val="EMPTY_CELL_STYLE"/>
                  </w:pPr>
                </w:p>
              </w:tc>
            </w:tr>
          </w:tbl>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