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2"/>
        <w:tblW w:w="0" w:type="auto"/>
        <w:tblInd w:w="0" w:type="dxa"/>
        <w:tblLayout w:type="fixed"/>
        <w:tblCellMar>
          <w:top w:w="0" w:type="dxa"/>
          <w:left w:w="10" w:type="dxa"/>
          <w:bottom w:w="0" w:type="dxa"/>
          <w:right w:w="10" w:type="dxa"/>
        </w:tblCellMar>
      </w:tblPr>
      <w:tblGrid>
        <w:gridCol w:w="1"/>
        <w:gridCol w:w="20"/>
        <w:gridCol w:w="20"/>
        <w:gridCol w:w="60"/>
        <w:gridCol w:w="100"/>
        <w:gridCol w:w="2820"/>
        <w:gridCol w:w="380"/>
        <w:gridCol w:w="740"/>
        <w:gridCol w:w="260"/>
        <w:gridCol w:w="1000"/>
        <w:gridCol w:w="1000"/>
        <w:gridCol w:w="1000"/>
        <w:gridCol w:w="2620"/>
        <w:gridCol w:w="220"/>
        <w:gridCol w:w="260"/>
        <w:gridCol w:w="200"/>
        <w:gridCol w:w="1"/>
        <w:gridCol w:w="19"/>
        <w:gridCol w:w="1"/>
        <w:gridCol w:w="19"/>
        <w:gridCol w:w="1"/>
      </w:tblGrid>
      <w:tr>
        <w:tblPrEx>
          <w:tblCellMar>
            <w:top w:w="0" w:type="dxa"/>
            <w:left w:w="10" w:type="dxa"/>
            <w:bottom w:w="0" w:type="dxa"/>
            <w:right w:w="10" w:type="dxa"/>
          </w:tblCellMar>
        </w:tblPrEx>
        <w:trPr>
          <w:gridAfter w:val="4"/>
          <w:trHeight w:val="0" w:hRule="atLeast"/>
        </w:trPr>
        <w:tc>
          <w:p>
            <w:pPr>
              <w:pStyle w:val="4"/>
            </w:pPr>
            <w:bookmarkStart w:id="0" w:name="JR_PAGE_ANCHOR_0_1"/>
            <w:bookmarkEnd w:id="0"/>
          </w:p>
        </w:tc>
        <w:tc>
          <w:tcPr>
            <w:gridSpan w:val="5"/>
          </w:tcPr>
          <w:p>
            <w:pPr>
              <w:pStyle w:val="4"/>
            </w:pPr>
          </w:p>
        </w:tc>
        <w:tc>
          <w:p>
            <w:pPr>
              <w:pStyle w:val="4"/>
            </w:pPr>
          </w:p>
        </w:tc>
        <w:tc>
          <w:tcPr>
            <w:gridSpan w:val="3"/>
          </w:tcPr>
          <w:p>
            <w:pPr>
              <w:pStyle w:val="4"/>
            </w:pPr>
          </w:p>
        </w:tc>
        <w:tc>
          <w:tcPr>
            <w:gridSpan w:val="2"/>
          </w:tcPr>
          <w:p>
            <w:pPr>
              <w:pStyle w:val="4"/>
            </w:pPr>
          </w:p>
        </w:tc>
        <w:tc>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4"/>
          <w:trHeight w:val="400" w:hRule="atLeast"/>
        </w:trPr>
        <w:tc>
          <w:p>
            <w:pPr>
              <w:pStyle w:val="4"/>
            </w:pPr>
          </w:p>
        </w:tc>
        <w:tc>
          <w:tcPr>
            <w:gridSpan w:val="15"/>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兴银理财天天万利宝稳利恒盈7号封闭式净值型理财产品第28期2023年第一季度报告</w:t>
            </w:r>
          </w:p>
        </w:tc>
        <w:tc>
          <w:p>
            <w:pPr>
              <w:pStyle w:val="4"/>
            </w:pPr>
          </w:p>
        </w:tc>
      </w:tr>
      <w:tr>
        <w:tblPrEx>
          <w:tblCellMar>
            <w:top w:w="0" w:type="dxa"/>
            <w:left w:w="10" w:type="dxa"/>
            <w:bottom w:w="0" w:type="dxa"/>
            <w:right w:w="10" w:type="dxa"/>
          </w:tblCellMar>
        </w:tblPrEx>
        <w:trPr>
          <w:gridAfter w:val="4"/>
          <w:trHeight w:val="20" w:hRule="exact"/>
        </w:trPr>
        <w:tc>
          <w:p>
            <w:pPr>
              <w:pStyle w:val="4"/>
            </w:pPr>
          </w:p>
        </w:tc>
        <w:tc>
          <w:tcPr>
            <w:gridSpan w:val="5"/>
          </w:tcPr>
          <w:p>
            <w:pPr>
              <w:pStyle w:val="4"/>
            </w:pPr>
          </w:p>
        </w:tc>
        <w:tc>
          <w:p>
            <w:pPr>
              <w:pStyle w:val="4"/>
            </w:pPr>
          </w:p>
        </w:tc>
        <w:tc>
          <w:tcPr>
            <w:gridSpan w:val="3"/>
          </w:tcPr>
          <w:p>
            <w:pPr>
              <w:pStyle w:val="4"/>
            </w:pPr>
          </w:p>
        </w:tc>
        <w:tc>
          <w:tcPr>
            <w:gridSpan w:val="2"/>
          </w:tcPr>
          <w:p>
            <w:pPr>
              <w:pStyle w:val="4"/>
            </w:pPr>
          </w:p>
        </w:tc>
        <w:tc>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4"/>
          <w:trHeight w:val="20" w:hRule="exact"/>
        </w:trPr>
        <w:tc>
          <w:p>
            <w:pPr>
              <w:pStyle w:val="4"/>
            </w:pPr>
          </w:p>
        </w:tc>
        <w:tc>
          <w:tcPr>
            <w:gridSpan w:val="15"/>
            <w:tcBorders>
              <w:top w:val="single" w:color="000000" w:sz="8" w:space="0"/>
            </w:tcBorders>
            <w:shd w:val="clear" w:color="auto" w:fill="FFFFFF"/>
            <w:tcMar>
              <w:top w:w="0" w:type="dxa"/>
              <w:left w:w="0" w:type="dxa"/>
              <w:bottom w:w="0" w:type="dxa"/>
              <w:right w:w="0" w:type="dxa"/>
            </w:tcMar>
          </w:tcPr>
          <w:p>
            <w:pPr>
              <w:pStyle w:val="4"/>
            </w:pPr>
          </w:p>
        </w:tc>
        <w:tc>
          <w:p>
            <w:pPr>
              <w:pStyle w:val="4"/>
            </w:pPr>
          </w:p>
        </w:tc>
      </w:tr>
      <w:tr>
        <w:tblPrEx>
          <w:tblCellMar>
            <w:top w:w="0" w:type="dxa"/>
            <w:left w:w="10" w:type="dxa"/>
            <w:bottom w:w="0" w:type="dxa"/>
            <w:right w:w="10" w:type="dxa"/>
          </w:tblCellMar>
        </w:tblPrEx>
        <w:trPr>
          <w:gridAfter w:val="4"/>
          <w:trHeight w:val="960" w:hRule="exact"/>
        </w:trPr>
        <w:tc>
          <w:p>
            <w:pPr>
              <w:pStyle w:val="4"/>
            </w:pPr>
          </w:p>
        </w:tc>
        <w:tc>
          <w:tcPr>
            <w:gridSpan w:val="5"/>
          </w:tcPr>
          <w:p>
            <w:pPr>
              <w:pStyle w:val="4"/>
            </w:pPr>
          </w:p>
        </w:tc>
        <w:tc>
          <w:p>
            <w:pPr>
              <w:pStyle w:val="4"/>
            </w:pPr>
          </w:p>
        </w:tc>
        <w:tc>
          <w:tcPr>
            <w:gridSpan w:val="3"/>
          </w:tcPr>
          <w:p>
            <w:pPr>
              <w:pStyle w:val="4"/>
            </w:pPr>
          </w:p>
        </w:tc>
        <w:tc>
          <w:tcPr>
            <w:gridSpan w:val="2"/>
          </w:tcPr>
          <w:p>
            <w:pPr>
              <w:pStyle w:val="4"/>
            </w:pPr>
          </w:p>
        </w:tc>
        <w:tc>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4"/>
          <w:trHeight w:val="3020" w:hRule="atLeast"/>
        </w:trPr>
        <w:tc>
          <w:p>
            <w:pPr>
              <w:pStyle w:val="4"/>
            </w:pPr>
          </w:p>
        </w:tc>
        <w:tc>
          <w:tcPr>
            <w:gridSpan w:val="15"/>
            <w:tcMar>
              <w:top w:w="0" w:type="dxa"/>
              <w:left w:w="0" w:type="dxa"/>
              <w:bottom w:w="0" w:type="dxa"/>
              <w:right w:w="0" w:type="dxa"/>
            </w:tcMar>
            <w:vAlign w:val="center"/>
          </w:tcPr>
          <w:p>
            <w:pPr>
              <w:spacing w:before="0" w:after="0" w:line="360" w:lineRule="auto"/>
              <w:jc w:val="center"/>
            </w:pPr>
            <w:r>
              <w:rPr>
                <w:rFonts w:ascii="宋体" w:hAnsi="宋体" w:eastAsia="宋体" w:cs="宋体"/>
                <w:b/>
                <w:color w:val="000000"/>
                <w:sz w:val="32"/>
              </w:rPr>
              <w:t>兴银理财天天万利宝稳利恒盈7号封闭式净值型理财产品第28期</w:t>
            </w:r>
            <w:r>
              <w:rPr>
                <w:rFonts w:ascii="宋体" w:hAnsi="宋体" w:eastAsia="宋体" w:cs="宋体"/>
                <w:b/>
                <w:color w:val="000000"/>
                <w:sz w:val="32"/>
              </w:rPr>
              <w:br w:type="textWrapping"/>
            </w:r>
            <w:r>
              <w:rPr>
                <w:rFonts w:ascii="宋体" w:hAnsi="宋体" w:eastAsia="宋体" w:cs="宋体"/>
                <w:b/>
                <w:color w:val="000000"/>
                <w:sz w:val="32"/>
              </w:rPr>
              <w:t>2023年第一季度报告</w:t>
            </w:r>
          </w:p>
        </w:tc>
        <w:tc>
          <w:p>
            <w:pPr>
              <w:pStyle w:val="4"/>
            </w:pPr>
          </w:p>
        </w:tc>
      </w:tr>
      <w:tr>
        <w:tblPrEx>
          <w:tblCellMar>
            <w:top w:w="0" w:type="dxa"/>
            <w:left w:w="10" w:type="dxa"/>
            <w:bottom w:w="0" w:type="dxa"/>
            <w:right w:w="10" w:type="dxa"/>
          </w:tblCellMar>
        </w:tblPrEx>
        <w:trPr>
          <w:gridAfter w:val="4"/>
          <w:trHeight w:val="6600" w:hRule="exact"/>
        </w:trPr>
        <w:tc>
          <w:p>
            <w:pPr>
              <w:pStyle w:val="4"/>
            </w:pPr>
          </w:p>
        </w:tc>
        <w:tc>
          <w:tcPr>
            <w:gridSpan w:val="5"/>
          </w:tcPr>
          <w:p>
            <w:pPr>
              <w:pStyle w:val="4"/>
            </w:pPr>
          </w:p>
        </w:tc>
        <w:tc>
          <w:p>
            <w:pPr>
              <w:pStyle w:val="4"/>
            </w:pPr>
          </w:p>
        </w:tc>
        <w:tc>
          <w:tcPr>
            <w:gridSpan w:val="3"/>
          </w:tcPr>
          <w:p>
            <w:pPr>
              <w:pStyle w:val="4"/>
            </w:pPr>
          </w:p>
        </w:tc>
        <w:tc>
          <w:tcPr>
            <w:gridSpan w:val="2"/>
          </w:tcPr>
          <w:p>
            <w:pPr>
              <w:pStyle w:val="4"/>
            </w:pPr>
          </w:p>
        </w:tc>
        <w:tc>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4"/>
          <w:trHeight w:val="500" w:hRule="atLeast"/>
        </w:trPr>
        <w:tc>
          <w:p>
            <w:pPr>
              <w:pStyle w:val="4"/>
            </w:pPr>
          </w:p>
        </w:tc>
        <w:tc>
          <w:tcPr>
            <w:gridSpan w:val="5"/>
          </w:tcPr>
          <w:p>
            <w:pPr>
              <w:pStyle w:val="4"/>
            </w:pPr>
          </w:p>
        </w:tc>
        <w:tc>
          <w:tcPr>
            <w:gridSpan w:val="7"/>
            <w:tcMar>
              <w:top w:w="0" w:type="dxa"/>
              <w:left w:w="0" w:type="dxa"/>
              <w:bottom w:w="0" w:type="dxa"/>
              <w:right w:w="0" w:type="dxa"/>
            </w:tcMar>
            <w:vAlign w:val="center"/>
          </w:tcPr>
          <w:p>
            <w:pPr>
              <w:jc w:val="left"/>
            </w:pPr>
            <w:r>
              <w:rPr>
                <w:rFonts w:ascii="宋体" w:hAnsi="宋体" w:eastAsia="宋体" w:cs="宋体"/>
                <w:color w:val="000000"/>
                <w:sz w:val="24"/>
              </w:rPr>
              <w:t>理财产品管理人：兴银理财有限责任公司</w:t>
            </w:r>
          </w:p>
        </w:tc>
        <w:tc>
          <w:tcPr>
            <w:gridSpan w:val="3"/>
          </w:tcPr>
          <w:p>
            <w:pPr>
              <w:pStyle w:val="4"/>
            </w:pPr>
          </w:p>
        </w:tc>
        <w:tc>
          <w:p>
            <w:pPr>
              <w:pStyle w:val="4"/>
            </w:pPr>
          </w:p>
        </w:tc>
      </w:tr>
      <w:tr>
        <w:tblPrEx>
          <w:tblCellMar>
            <w:top w:w="0" w:type="dxa"/>
            <w:left w:w="10" w:type="dxa"/>
            <w:bottom w:w="0" w:type="dxa"/>
            <w:right w:w="10" w:type="dxa"/>
          </w:tblCellMar>
        </w:tblPrEx>
        <w:trPr>
          <w:gridAfter w:val="4"/>
          <w:trHeight w:val="500" w:hRule="atLeast"/>
        </w:trPr>
        <w:tc>
          <w:p>
            <w:pPr>
              <w:pStyle w:val="4"/>
            </w:pPr>
          </w:p>
        </w:tc>
        <w:tc>
          <w:tcPr>
            <w:gridSpan w:val="5"/>
          </w:tcPr>
          <w:p>
            <w:pPr>
              <w:pStyle w:val="4"/>
            </w:pPr>
          </w:p>
        </w:tc>
        <w:tc>
          <w:tcPr>
            <w:gridSpan w:val="7"/>
            <w:tcMar>
              <w:top w:w="0" w:type="dxa"/>
              <w:left w:w="0" w:type="dxa"/>
              <w:bottom w:w="0" w:type="dxa"/>
              <w:right w:w="0" w:type="dxa"/>
            </w:tcMar>
            <w:vAlign w:val="center"/>
          </w:tcPr>
          <w:p>
            <w:pPr>
              <w:jc w:val="left"/>
            </w:pPr>
            <w:r>
              <w:rPr>
                <w:rFonts w:ascii="宋体" w:hAnsi="宋体" w:eastAsia="宋体" w:cs="宋体"/>
                <w:color w:val="000000"/>
                <w:sz w:val="24"/>
              </w:rPr>
              <w:t>理财产品托管人：兴业银行股份有限公司</w:t>
            </w:r>
          </w:p>
        </w:tc>
        <w:tc>
          <w:tcPr>
            <w:gridSpan w:val="3"/>
          </w:tcPr>
          <w:p>
            <w:pPr>
              <w:pStyle w:val="4"/>
            </w:pPr>
          </w:p>
        </w:tc>
        <w:tc>
          <w:p>
            <w:pPr>
              <w:pStyle w:val="4"/>
            </w:pPr>
          </w:p>
        </w:tc>
      </w:tr>
      <w:tr>
        <w:tblPrEx>
          <w:tblCellMar>
            <w:top w:w="0" w:type="dxa"/>
            <w:left w:w="10" w:type="dxa"/>
            <w:bottom w:w="0" w:type="dxa"/>
            <w:right w:w="10" w:type="dxa"/>
          </w:tblCellMar>
        </w:tblPrEx>
        <w:trPr>
          <w:gridAfter w:val="4"/>
          <w:trHeight w:val="500" w:hRule="atLeast"/>
        </w:trPr>
        <w:tc>
          <w:p>
            <w:pPr>
              <w:pStyle w:val="4"/>
            </w:pPr>
          </w:p>
        </w:tc>
        <w:tc>
          <w:tcPr>
            <w:gridSpan w:val="5"/>
          </w:tcPr>
          <w:p>
            <w:pPr>
              <w:pStyle w:val="4"/>
            </w:pPr>
          </w:p>
        </w:tc>
        <w:tc>
          <w:tcPr>
            <w:gridSpan w:val="7"/>
            <w:tcMar>
              <w:top w:w="0" w:type="dxa"/>
              <w:left w:w="0" w:type="dxa"/>
              <w:bottom w:w="0" w:type="dxa"/>
              <w:right w:w="0" w:type="dxa"/>
            </w:tcMar>
            <w:vAlign w:val="center"/>
          </w:tcPr>
          <w:p>
            <w:pPr>
              <w:jc w:val="left"/>
            </w:pPr>
            <w:r>
              <w:rPr>
                <w:rFonts w:ascii="宋体" w:hAnsi="宋体" w:eastAsia="宋体" w:cs="宋体"/>
                <w:color w:val="000000"/>
                <w:sz w:val="24"/>
              </w:rPr>
              <w:t>报告送出日期：2023年4月23日</w:t>
            </w:r>
          </w:p>
        </w:tc>
        <w:tc>
          <w:tcPr>
            <w:gridSpan w:val="3"/>
          </w:tcPr>
          <w:p>
            <w:pPr>
              <w:pStyle w:val="4"/>
            </w:pPr>
          </w:p>
        </w:tc>
        <w:tc>
          <w:p>
            <w:pPr>
              <w:pStyle w:val="4"/>
            </w:pPr>
          </w:p>
        </w:tc>
      </w:tr>
      <w:tr>
        <w:tblPrEx>
          <w:tblCellMar>
            <w:top w:w="0" w:type="dxa"/>
            <w:left w:w="10" w:type="dxa"/>
            <w:bottom w:w="0" w:type="dxa"/>
            <w:right w:w="10" w:type="dxa"/>
          </w:tblCellMar>
        </w:tblPrEx>
        <w:trPr>
          <w:gridAfter w:val="4"/>
          <w:trHeight w:val="2720" w:hRule="exact"/>
        </w:trPr>
        <w:tc>
          <w:p>
            <w:pPr>
              <w:pStyle w:val="4"/>
            </w:pPr>
          </w:p>
        </w:tc>
        <w:tc>
          <w:tcPr>
            <w:gridSpan w:val="5"/>
          </w:tcPr>
          <w:p>
            <w:pPr>
              <w:pStyle w:val="4"/>
            </w:pPr>
          </w:p>
        </w:tc>
        <w:tc>
          <w:p>
            <w:pPr>
              <w:pStyle w:val="4"/>
            </w:pPr>
          </w:p>
        </w:tc>
        <w:tc>
          <w:tcPr>
            <w:gridSpan w:val="3"/>
          </w:tcPr>
          <w:p>
            <w:pPr>
              <w:pStyle w:val="4"/>
            </w:pPr>
          </w:p>
        </w:tc>
        <w:tc>
          <w:tcPr>
            <w:gridSpan w:val="2"/>
          </w:tcPr>
          <w:p>
            <w:pPr>
              <w:pStyle w:val="4"/>
            </w:pPr>
          </w:p>
        </w:tc>
        <w:tc>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4"/>
          <w:trHeight w:val="400" w:hRule="atLeast"/>
        </w:trPr>
        <w:tc>
          <w:p>
            <w:pPr>
              <w:pStyle w:val="4"/>
            </w:pPr>
          </w:p>
        </w:tc>
        <w:tc>
          <w:tcPr>
            <w:gridSpan w:val="5"/>
          </w:tcPr>
          <w:p>
            <w:pPr>
              <w:pStyle w:val="4"/>
            </w:pPr>
          </w:p>
        </w:tc>
        <w:tc>
          <w:p>
            <w:pPr>
              <w:pStyle w:val="4"/>
            </w:pPr>
          </w:p>
        </w:tc>
        <w:tc>
          <w:tcPr>
            <w:gridSpan w:val="3"/>
            <w:tcMar>
              <w:top w:w="0" w:type="dxa"/>
              <w:left w:w="0" w:type="dxa"/>
              <w:bottom w:w="0" w:type="dxa"/>
              <w:right w:w="0" w:type="dxa"/>
            </w:tcMar>
            <w:vAlign w:val="top"/>
          </w:tcPr>
          <w:p>
            <w:pPr>
              <w:jc w:val="right"/>
            </w:pPr>
            <w:r>
              <w:rPr>
                <w:rFonts w:ascii="SansSerif" w:hAnsi="SansSerif" w:eastAsia="SansSerif" w:cs="SansSerif"/>
                <w:color w:val="000000"/>
                <w:sz w:val="18"/>
              </w:rPr>
              <w:t>1/</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7</w:t>
            </w:r>
          </w:p>
        </w:tc>
        <w:tc>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4"/>
          <w:trHeight w:val="0" w:hRule="atLeast"/>
        </w:trPr>
        <w:tc>
          <w:p>
            <w:pPr>
              <w:pStyle w:val="4"/>
              <w:pageBreakBefore/>
            </w:pPr>
            <w:bookmarkStart w:id="1" w:name="JR_PAGE_ANCHOR_0_2"/>
            <w:bookmarkEnd w:id="1"/>
          </w:p>
        </w:tc>
        <w:tc>
          <w:tcPr>
            <w:gridSpan w:val="3"/>
          </w:tcPr>
          <w:p>
            <w:pPr>
              <w:pStyle w:val="4"/>
            </w:pPr>
          </w:p>
        </w:tc>
        <w:tc>
          <w:tcPr>
            <w:gridSpan w:val="3"/>
          </w:tcPr>
          <w:p>
            <w:pPr>
              <w:pStyle w:val="4"/>
            </w:pPr>
          </w:p>
        </w:tc>
        <w:tc>
          <w:tcPr>
            <w:gridSpan w:val="2"/>
          </w:tcPr>
          <w:p>
            <w:pPr>
              <w:pStyle w:val="4"/>
            </w:pPr>
          </w:p>
        </w:tc>
        <w:tc>
          <w:p>
            <w:pPr>
              <w:pStyle w:val="4"/>
            </w:pPr>
          </w:p>
        </w:tc>
        <w:tc>
          <w:p>
            <w:pPr>
              <w:pStyle w:val="4"/>
            </w:pPr>
          </w:p>
        </w:tc>
        <w:tc>
          <w:p>
            <w:pPr>
              <w:pStyle w:val="4"/>
            </w:pPr>
          </w:p>
        </w:tc>
        <w:tc>
          <w:tcPr>
            <w:gridSpan w:val="3"/>
          </w:tcPr>
          <w:p>
            <w:pPr>
              <w:pStyle w:val="4"/>
            </w:pPr>
          </w:p>
        </w:tc>
        <w:tc>
          <w:p>
            <w:pPr>
              <w:pStyle w:val="4"/>
            </w:pPr>
          </w:p>
        </w:tc>
        <w:tc>
          <w:p>
            <w:pPr>
              <w:pStyle w:val="4"/>
            </w:pPr>
          </w:p>
        </w:tc>
      </w:tr>
      <w:tr>
        <w:tblPrEx>
          <w:tblCellMar>
            <w:top w:w="0" w:type="dxa"/>
            <w:left w:w="10" w:type="dxa"/>
            <w:bottom w:w="0" w:type="dxa"/>
            <w:right w:w="10" w:type="dxa"/>
          </w:tblCellMar>
        </w:tblPrEx>
        <w:trPr>
          <w:gridAfter w:val="4"/>
          <w:trHeight w:val="400" w:hRule="atLeast"/>
        </w:trPr>
        <w:tc>
          <w:p>
            <w:pPr>
              <w:pStyle w:val="4"/>
            </w:pPr>
          </w:p>
        </w:tc>
        <w:tc>
          <w:tcPr>
            <w:gridSpan w:val="15"/>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兴银理财天天万利宝稳利恒盈7号封闭式净值型理财产品第28期2023年第一季度报告</w:t>
            </w:r>
          </w:p>
        </w:tc>
        <w:tc>
          <w:p>
            <w:pPr>
              <w:pStyle w:val="4"/>
            </w:pPr>
          </w:p>
        </w:tc>
      </w:tr>
      <w:tr>
        <w:tblPrEx>
          <w:tblCellMar>
            <w:top w:w="0" w:type="dxa"/>
            <w:left w:w="10" w:type="dxa"/>
            <w:bottom w:w="0" w:type="dxa"/>
            <w:right w:w="10" w:type="dxa"/>
          </w:tblCellMar>
        </w:tblPrEx>
        <w:trPr>
          <w:gridAfter w:val="4"/>
          <w:trHeight w:val="20" w:hRule="exact"/>
        </w:trPr>
        <w:tc>
          <w:p>
            <w:pPr>
              <w:pStyle w:val="4"/>
            </w:pPr>
          </w:p>
        </w:tc>
        <w:tc>
          <w:tcPr>
            <w:gridSpan w:val="3"/>
          </w:tcPr>
          <w:p>
            <w:pPr>
              <w:pStyle w:val="4"/>
            </w:pPr>
          </w:p>
        </w:tc>
        <w:tc>
          <w:tcPr>
            <w:gridSpan w:val="3"/>
          </w:tcPr>
          <w:p>
            <w:pPr>
              <w:pStyle w:val="4"/>
            </w:pPr>
          </w:p>
        </w:tc>
        <w:tc>
          <w:tcPr>
            <w:gridSpan w:val="2"/>
          </w:tcPr>
          <w:p>
            <w:pPr>
              <w:pStyle w:val="4"/>
            </w:pPr>
          </w:p>
        </w:tc>
        <w:tc>
          <w:p>
            <w:pPr>
              <w:pStyle w:val="4"/>
            </w:pPr>
          </w:p>
        </w:tc>
        <w:tc>
          <w:p>
            <w:pPr>
              <w:pStyle w:val="4"/>
            </w:pPr>
          </w:p>
        </w:tc>
        <w:tc>
          <w:p>
            <w:pPr>
              <w:pStyle w:val="4"/>
            </w:pPr>
          </w:p>
        </w:tc>
        <w:tc>
          <w:tcPr>
            <w:gridSpan w:val="3"/>
          </w:tcPr>
          <w:p>
            <w:pPr>
              <w:pStyle w:val="4"/>
            </w:pPr>
          </w:p>
        </w:tc>
        <w:tc>
          <w:p>
            <w:pPr>
              <w:pStyle w:val="4"/>
            </w:pPr>
          </w:p>
        </w:tc>
        <w:tc>
          <w:p>
            <w:pPr>
              <w:pStyle w:val="4"/>
            </w:pPr>
          </w:p>
        </w:tc>
      </w:tr>
      <w:tr>
        <w:tblPrEx>
          <w:tblCellMar>
            <w:top w:w="0" w:type="dxa"/>
            <w:left w:w="10" w:type="dxa"/>
            <w:bottom w:w="0" w:type="dxa"/>
            <w:right w:w="10" w:type="dxa"/>
          </w:tblCellMar>
        </w:tblPrEx>
        <w:trPr>
          <w:gridAfter w:val="4"/>
          <w:trHeight w:val="20" w:hRule="exact"/>
        </w:trPr>
        <w:tc>
          <w:p>
            <w:pPr>
              <w:pStyle w:val="4"/>
            </w:pPr>
          </w:p>
        </w:tc>
        <w:tc>
          <w:tcPr>
            <w:gridSpan w:val="15"/>
            <w:tcBorders>
              <w:top w:val="single" w:color="000000" w:sz="8" w:space="0"/>
            </w:tcBorders>
            <w:shd w:val="clear" w:color="auto" w:fill="FFFFFF"/>
            <w:tcMar>
              <w:top w:w="0" w:type="dxa"/>
              <w:left w:w="0" w:type="dxa"/>
              <w:bottom w:w="0" w:type="dxa"/>
              <w:right w:w="0" w:type="dxa"/>
            </w:tcMar>
          </w:tcPr>
          <w:p>
            <w:pPr>
              <w:pStyle w:val="4"/>
            </w:pPr>
          </w:p>
        </w:tc>
        <w:tc>
          <w:p>
            <w:pPr>
              <w:pStyle w:val="4"/>
            </w:pPr>
          </w:p>
        </w:tc>
      </w:tr>
      <w:tr>
        <w:tblPrEx>
          <w:tblCellMar>
            <w:top w:w="0" w:type="dxa"/>
            <w:left w:w="10" w:type="dxa"/>
            <w:bottom w:w="0" w:type="dxa"/>
            <w:right w:w="10" w:type="dxa"/>
          </w:tblCellMar>
        </w:tblPrEx>
        <w:trPr>
          <w:gridAfter w:val="4"/>
          <w:trHeight w:val="840" w:hRule="exact"/>
        </w:trPr>
        <w:tc>
          <w:p>
            <w:pPr>
              <w:pStyle w:val="4"/>
            </w:pPr>
          </w:p>
        </w:tc>
        <w:tc>
          <w:tcPr>
            <w:gridSpan w:val="3"/>
          </w:tcPr>
          <w:p>
            <w:pPr>
              <w:pStyle w:val="4"/>
            </w:pPr>
          </w:p>
        </w:tc>
        <w:tc>
          <w:tcPr>
            <w:gridSpan w:val="3"/>
          </w:tcPr>
          <w:p>
            <w:pPr>
              <w:pStyle w:val="4"/>
            </w:pPr>
          </w:p>
        </w:tc>
        <w:tc>
          <w:tcPr>
            <w:gridSpan w:val="2"/>
          </w:tcPr>
          <w:p>
            <w:pPr>
              <w:pStyle w:val="4"/>
            </w:pPr>
          </w:p>
        </w:tc>
        <w:tc>
          <w:p>
            <w:pPr>
              <w:pStyle w:val="4"/>
            </w:pPr>
          </w:p>
        </w:tc>
        <w:tc>
          <w:p>
            <w:pPr>
              <w:pStyle w:val="4"/>
            </w:pPr>
          </w:p>
        </w:tc>
        <w:tc>
          <w:p>
            <w:pPr>
              <w:pStyle w:val="4"/>
            </w:pPr>
          </w:p>
        </w:tc>
        <w:tc>
          <w:tcPr>
            <w:gridSpan w:val="3"/>
          </w:tcPr>
          <w:p>
            <w:pPr>
              <w:pStyle w:val="4"/>
            </w:pPr>
          </w:p>
        </w:tc>
        <w:tc>
          <w:p>
            <w:pPr>
              <w:pStyle w:val="4"/>
            </w:pPr>
          </w:p>
        </w:tc>
        <w:tc>
          <w:p>
            <w:pPr>
              <w:pStyle w:val="4"/>
            </w:pPr>
          </w:p>
        </w:tc>
      </w:tr>
      <w:tr>
        <w:tblPrEx>
          <w:tblCellMar>
            <w:top w:w="0" w:type="dxa"/>
            <w:left w:w="10" w:type="dxa"/>
            <w:bottom w:w="0" w:type="dxa"/>
            <w:right w:w="10" w:type="dxa"/>
          </w:tblCellMar>
        </w:tblPrEx>
        <w:trPr>
          <w:gridAfter w:val="4"/>
          <w:trHeight w:val="600" w:hRule="atLeast"/>
        </w:trPr>
        <w:tc>
          <w:p>
            <w:pPr>
              <w:pStyle w:val="4"/>
            </w:pPr>
          </w:p>
        </w:tc>
        <w:tc>
          <w:tcPr>
            <w:gridSpan w:val="3"/>
          </w:tcPr>
          <w:p>
            <w:pPr>
              <w:pStyle w:val="4"/>
            </w:pPr>
          </w:p>
        </w:tc>
        <w:tc>
          <w:tcPr>
            <w:gridSpan w:val="3"/>
          </w:tcPr>
          <w:p>
            <w:pPr>
              <w:pStyle w:val="4"/>
            </w:pPr>
          </w:p>
        </w:tc>
        <w:tc>
          <w:tcPr>
            <w:gridSpan w:val="2"/>
          </w:tcPr>
          <w:p>
            <w:pPr>
              <w:pStyle w:val="4"/>
            </w:pPr>
          </w:p>
        </w:tc>
        <w:tc>
          <w:tcPr>
            <w:gridSpan w:val="2"/>
            <w:tcMar>
              <w:top w:w="0" w:type="dxa"/>
              <w:left w:w="0" w:type="dxa"/>
              <w:bottom w:w="0" w:type="dxa"/>
              <w:right w:w="0" w:type="dxa"/>
            </w:tcMar>
            <w:vAlign w:val="top"/>
          </w:tcPr>
          <w:p>
            <w:pPr>
              <w:jc w:val="center"/>
            </w:pPr>
            <w:r>
              <w:rPr>
                <w:rFonts w:ascii="宋体" w:hAnsi="宋体" w:eastAsia="宋体" w:cs="宋体"/>
                <w:b/>
                <w:color w:val="000000"/>
                <w:sz w:val="30"/>
              </w:rPr>
              <w:t>目  录</w:t>
            </w:r>
          </w:p>
        </w:tc>
        <w:tc>
          <w:p>
            <w:pPr>
              <w:pStyle w:val="4"/>
            </w:pPr>
          </w:p>
        </w:tc>
        <w:tc>
          <w:tcPr>
            <w:gridSpan w:val="3"/>
          </w:tcPr>
          <w:p>
            <w:pPr>
              <w:pStyle w:val="4"/>
            </w:pPr>
          </w:p>
        </w:tc>
        <w:tc>
          <w:p>
            <w:pPr>
              <w:pStyle w:val="4"/>
            </w:pPr>
          </w:p>
        </w:tc>
        <w:tc>
          <w:p>
            <w:pPr>
              <w:pStyle w:val="4"/>
            </w:pPr>
          </w:p>
        </w:tc>
      </w:tr>
      <w:tr>
        <w:tblPrEx>
          <w:tblCellMar>
            <w:top w:w="0" w:type="dxa"/>
            <w:left w:w="10" w:type="dxa"/>
            <w:bottom w:w="0" w:type="dxa"/>
            <w:right w:w="10" w:type="dxa"/>
          </w:tblCellMar>
        </w:tblPrEx>
        <w:trPr>
          <w:gridAfter w:val="4"/>
          <w:trHeight w:val="440" w:hRule="exact"/>
        </w:trPr>
        <w:tc>
          <w:p>
            <w:pPr>
              <w:pStyle w:val="4"/>
            </w:pPr>
          </w:p>
        </w:tc>
        <w:tc>
          <w:tcPr>
            <w:gridSpan w:val="3"/>
          </w:tcPr>
          <w:p>
            <w:pPr>
              <w:pStyle w:val="4"/>
            </w:pPr>
          </w:p>
        </w:tc>
        <w:tc>
          <w:tcPr>
            <w:gridSpan w:val="3"/>
          </w:tcPr>
          <w:p>
            <w:pPr>
              <w:pStyle w:val="4"/>
            </w:pPr>
          </w:p>
        </w:tc>
        <w:tc>
          <w:tcPr>
            <w:gridSpan w:val="2"/>
          </w:tcPr>
          <w:p>
            <w:pPr>
              <w:pStyle w:val="4"/>
            </w:pPr>
          </w:p>
        </w:tc>
        <w:tc>
          <w:p>
            <w:pPr>
              <w:pStyle w:val="4"/>
            </w:pPr>
          </w:p>
        </w:tc>
        <w:tc>
          <w:p>
            <w:pPr>
              <w:pStyle w:val="4"/>
            </w:pPr>
          </w:p>
        </w:tc>
        <w:tc>
          <w:p>
            <w:pPr>
              <w:pStyle w:val="4"/>
            </w:pPr>
          </w:p>
        </w:tc>
        <w:tc>
          <w:tcPr>
            <w:gridSpan w:val="3"/>
          </w:tcPr>
          <w:p>
            <w:pPr>
              <w:pStyle w:val="4"/>
            </w:pPr>
          </w:p>
        </w:tc>
        <w:tc>
          <w:p>
            <w:pPr>
              <w:pStyle w:val="4"/>
            </w:pPr>
          </w:p>
        </w:tc>
        <w:tc>
          <w:p>
            <w:pPr>
              <w:pStyle w:val="4"/>
            </w:pPr>
          </w:p>
        </w:tc>
      </w:tr>
      <w:tr>
        <w:tblPrEx>
          <w:tblCellMar>
            <w:top w:w="0" w:type="dxa"/>
            <w:left w:w="10" w:type="dxa"/>
            <w:bottom w:w="0" w:type="dxa"/>
            <w:right w:w="10" w:type="dxa"/>
          </w:tblCellMar>
        </w:tblPrEx>
        <w:trPr>
          <w:gridAfter w:val="4"/>
          <w:trHeight w:val="6840" w:hRule="atLeast"/>
        </w:trPr>
        <w:tc>
          <w:p>
            <w:pPr>
              <w:pStyle w:val="4"/>
            </w:pPr>
          </w:p>
        </w:tc>
        <w:tc>
          <w:tcPr>
            <w:gridSpan w:val="3"/>
          </w:tcPr>
          <w:p>
            <w:pPr>
              <w:pStyle w:val="4"/>
            </w:pPr>
          </w:p>
        </w:tc>
        <w:tc>
          <w:tcPr>
            <w:gridSpan w:val="11"/>
            <w:tcMar>
              <w:top w:w="0" w:type="dxa"/>
              <w:left w:w="0" w:type="dxa"/>
              <w:bottom w:w="0" w:type="dxa"/>
              <w:right w:w="0" w:type="dxa"/>
            </w:tcMar>
            <w:vAlign w:val="top"/>
          </w:tcPr>
          <w:p>
            <w:pPr>
              <w:spacing w:before="0" w:after="0" w:line="336" w:lineRule="auto"/>
              <w:jc w:val="left"/>
            </w:pPr>
            <w:r>
              <w:rPr>
                <w:rFonts w:ascii="宋体" w:hAnsi="宋体" w:eastAsia="宋体" w:cs="宋体"/>
                <w:color w:val="000000"/>
                <w:sz w:val="21"/>
              </w:rPr>
              <w:t>§ 一. 重要提示</w:t>
            </w:r>
            <w:r>
              <w:rPr>
                <w:rFonts w:ascii="宋体" w:hAnsi="宋体" w:eastAsia="宋体" w:cs="宋体"/>
                <w:color w:val="000000"/>
                <w:sz w:val="21"/>
              </w:rPr>
              <w:br w:type="textWrapping"/>
            </w:r>
            <w:r>
              <w:rPr>
                <w:rFonts w:ascii="宋体" w:hAnsi="宋体" w:eastAsia="宋体" w:cs="宋体"/>
                <w:color w:val="000000"/>
                <w:sz w:val="21"/>
              </w:rPr>
              <w:t>§ 二. 产品基本信息</w:t>
            </w:r>
            <w:r>
              <w:rPr>
                <w:rFonts w:ascii="宋体" w:hAnsi="宋体" w:eastAsia="宋体" w:cs="宋体"/>
                <w:color w:val="000000"/>
                <w:sz w:val="21"/>
              </w:rPr>
              <w:br w:type="textWrapping"/>
            </w:r>
            <w:r>
              <w:rPr>
                <w:rFonts w:ascii="宋体" w:hAnsi="宋体" w:eastAsia="宋体" w:cs="宋体"/>
                <w:color w:val="000000"/>
                <w:sz w:val="21"/>
              </w:rPr>
              <w:t>§ 三. 产品收益表现</w:t>
            </w:r>
            <w:r>
              <w:rPr>
                <w:rFonts w:ascii="宋体" w:hAnsi="宋体" w:eastAsia="宋体" w:cs="宋体"/>
                <w:color w:val="000000"/>
                <w:sz w:val="21"/>
              </w:rPr>
              <w:br w:type="textWrapping"/>
            </w:r>
            <w:r>
              <w:rPr>
                <w:rFonts w:ascii="宋体" w:hAnsi="宋体" w:eastAsia="宋体" w:cs="宋体"/>
                <w:color w:val="000000"/>
                <w:sz w:val="21"/>
              </w:rPr>
              <w:t>§ 四. 产品投资经理简介</w:t>
            </w:r>
            <w:r>
              <w:rPr>
                <w:rFonts w:ascii="宋体" w:hAnsi="宋体" w:eastAsia="宋体" w:cs="宋体"/>
                <w:color w:val="000000"/>
                <w:sz w:val="21"/>
              </w:rPr>
              <w:br w:type="textWrapping"/>
            </w:r>
            <w:r>
              <w:rPr>
                <w:rFonts w:ascii="宋体" w:hAnsi="宋体" w:eastAsia="宋体" w:cs="宋体"/>
                <w:color w:val="000000"/>
                <w:sz w:val="21"/>
              </w:rPr>
              <w:t>§ 五. 报告期内产品投资策略</w:t>
            </w:r>
            <w:r>
              <w:rPr>
                <w:rFonts w:ascii="宋体" w:hAnsi="宋体" w:eastAsia="宋体" w:cs="宋体"/>
                <w:color w:val="000000"/>
                <w:sz w:val="21"/>
              </w:rPr>
              <w:br w:type="textWrapping"/>
            </w:r>
            <w:r>
              <w:rPr>
                <w:rFonts w:ascii="宋体" w:hAnsi="宋体" w:eastAsia="宋体" w:cs="宋体"/>
                <w:color w:val="000000"/>
                <w:sz w:val="21"/>
              </w:rPr>
              <w:t>§ 六. 投资组合情况</w:t>
            </w:r>
            <w:r>
              <w:rPr>
                <w:rFonts w:ascii="宋体" w:hAnsi="宋体" w:eastAsia="宋体" w:cs="宋体"/>
                <w:color w:val="000000"/>
                <w:sz w:val="21"/>
              </w:rPr>
              <w:br w:type="textWrapping"/>
            </w:r>
            <w:r>
              <w:rPr>
                <w:rFonts w:ascii="宋体" w:hAnsi="宋体" w:eastAsia="宋体" w:cs="宋体"/>
                <w:color w:val="000000"/>
                <w:sz w:val="21"/>
              </w:rPr>
              <w:t xml:space="preserve">     1. 报告期末资产组合情况</w:t>
            </w:r>
            <w:r>
              <w:rPr>
                <w:rFonts w:ascii="宋体" w:hAnsi="宋体" w:eastAsia="宋体" w:cs="宋体"/>
                <w:color w:val="000000"/>
                <w:sz w:val="21"/>
              </w:rPr>
              <w:br w:type="textWrapping"/>
            </w:r>
            <w:r>
              <w:rPr>
                <w:rFonts w:ascii="宋体" w:hAnsi="宋体" w:eastAsia="宋体" w:cs="宋体"/>
                <w:color w:val="000000"/>
                <w:sz w:val="21"/>
              </w:rPr>
              <w:t xml:space="preserve">     2. 报告期末杠杆融资情况</w:t>
            </w:r>
            <w:r>
              <w:rPr>
                <w:rFonts w:ascii="宋体" w:hAnsi="宋体" w:eastAsia="宋体" w:cs="宋体"/>
                <w:color w:val="000000"/>
                <w:sz w:val="21"/>
              </w:rPr>
              <w:br w:type="textWrapping"/>
            </w:r>
            <w:r>
              <w:rPr>
                <w:rFonts w:ascii="宋体" w:hAnsi="宋体" w:eastAsia="宋体" w:cs="宋体"/>
                <w:color w:val="000000"/>
                <w:sz w:val="21"/>
              </w:rPr>
              <w:t xml:space="preserve">     3. 投资组合的流动性风险分析</w:t>
            </w:r>
            <w:r>
              <w:rPr>
                <w:rFonts w:ascii="宋体" w:hAnsi="宋体" w:eastAsia="宋体" w:cs="宋体"/>
                <w:color w:val="000000"/>
                <w:sz w:val="21"/>
              </w:rPr>
              <w:br w:type="textWrapping"/>
            </w:r>
            <w:r>
              <w:rPr>
                <w:rFonts w:ascii="宋体" w:hAnsi="宋体" w:eastAsia="宋体" w:cs="宋体"/>
                <w:color w:val="000000"/>
                <w:sz w:val="21"/>
              </w:rPr>
              <w:t xml:space="preserve">     4. 报告期末资产持仓前十基本信息</w:t>
            </w:r>
            <w:r>
              <w:rPr>
                <w:rFonts w:ascii="宋体" w:hAnsi="宋体" w:eastAsia="宋体" w:cs="宋体"/>
                <w:color w:val="000000"/>
                <w:sz w:val="21"/>
              </w:rPr>
              <w:br w:type="textWrapping"/>
            </w:r>
            <w:r>
              <w:rPr>
                <w:rFonts w:ascii="宋体" w:hAnsi="宋体" w:eastAsia="宋体" w:cs="宋体"/>
                <w:color w:val="000000"/>
                <w:sz w:val="21"/>
              </w:rPr>
              <w:t xml:space="preserve">     5. 报告期间关联交易情况</w:t>
            </w:r>
            <w:r>
              <w:rPr>
                <w:rFonts w:ascii="宋体" w:hAnsi="宋体" w:eastAsia="宋体" w:cs="宋体"/>
                <w:color w:val="000000"/>
                <w:sz w:val="21"/>
              </w:rPr>
              <w:br w:type="textWrapping"/>
            </w:r>
            <w:r>
              <w:rPr>
                <w:rFonts w:ascii="宋体" w:hAnsi="宋体" w:eastAsia="宋体" w:cs="宋体"/>
                <w:color w:val="000000"/>
                <w:sz w:val="21"/>
              </w:rPr>
              <w:t xml:space="preserve">     6. 投资账户信息</w:t>
            </w:r>
          </w:p>
        </w:tc>
        <w:tc>
          <w:p>
            <w:pPr>
              <w:pStyle w:val="4"/>
            </w:pPr>
          </w:p>
        </w:tc>
        <w:tc>
          <w:p>
            <w:pPr>
              <w:pStyle w:val="4"/>
            </w:pPr>
          </w:p>
        </w:tc>
      </w:tr>
      <w:tr>
        <w:tblPrEx>
          <w:tblCellMar>
            <w:top w:w="0" w:type="dxa"/>
            <w:left w:w="10" w:type="dxa"/>
            <w:bottom w:w="0" w:type="dxa"/>
            <w:right w:w="10" w:type="dxa"/>
          </w:tblCellMar>
        </w:tblPrEx>
        <w:trPr>
          <w:gridAfter w:val="4"/>
          <w:trHeight w:val="6080" w:hRule="exact"/>
        </w:trPr>
        <w:tc>
          <w:p>
            <w:pPr>
              <w:pStyle w:val="4"/>
            </w:pPr>
          </w:p>
        </w:tc>
        <w:tc>
          <w:tcPr>
            <w:gridSpan w:val="3"/>
          </w:tcPr>
          <w:p>
            <w:pPr>
              <w:pStyle w:val="4"/>
            </w:pPr>
          </w:p>
        </w:tc>
        <w:tc>
          <w:tcPr>
            <w:gridSpan w:val="3"/>
          </w:tcPr>
          <w:p>
            <w:pPr>
              <w:pStyle w:val="4"/>
            </w:pPr>
          </w:p>
        </w:tc>
        <w:tc>
          <w:tcPr>
            <w:gridSpan w:val="2"/>
          </w:tcPr>
          <w:p>
            <w:pPr>
              <w:pStyle w:val="4"/>
            </w:pPr>
          </w:p>
        </w:tc>
        <w:tc>
          <w:p>
            <w:pPr>
              <w:pStyle w:val="4"/>
            </w:pPr>
          </w:p>
        </w:tc>
        <w:tc>
          <w:p>
            <w:pPr>
              <w:pStyle w:val="4"/>
            </w:pPr>
          </w:p>
        </w:tc>
        <w:tc>
          <w:p>
            <w:pPr>
              <w:pStyle w:val="4"/>
            </w:pPr>
          </w:p>
        </w:tc>
        <w:tc>
          <w:tcPr>
            <w:gridSpan w:val="3"/>
          </w:tcPr>
          <w:p>
            <w:pPr>
              <w:pStyle w:val="4"/>
            </w:pPr>
          </w:p>
        </w:tc>
        <w:tc>
          <w:p>
            <w:pPr>
              <w:pStyle w:val="4"/>
            </w:pPr>
          </w:p>
        </w:tc>
        <w:tc>
          <w:p>
            <w:pPr>
              <w:pStyle w:val="4"/>
            </w:pPr>
          </w:p>
        </w:tc>
      </w:tr>
      <w:tr>
        <w:tblPrEx>
          <w:tblCellMar>
            <w:top w:w="0" w:type="dxa"/>
            <w:left w:w="10" w:type="dxa"/>
            <w:bottom w:w="0" w:type="dxa"/>
            <w:right w:w="10" w:type="dxa"/>
          </w:tblCellMar>
        </w:tblPrEx>
        <w:trPr>
          <w:gridAfter w:val="4"/>
          <w:trHeight w:val="400" w:hRule="atLeast"/>
        </w:trPr>
        <w:tc>
          <w:p>
            <w:pPr>
              <w:pStyle w:val="4"/>
            </w:pPr>
          </w:p>
        </w:tc>
        <w:tc>
          <w:tcPr>
            <w:gridSpan w:val="3"/>
          </w:tcPr>
          <w:p>
            <w:pPr>
              <w:pStyle w:val="4"/>
            </w:pPr>
          </w:p>
        </w:tc>
        <w:tc>
          <w:tcPr>
            <w:gridSpan w:val="3"/>
          </w:tcPr>
          <w:p>
            <w:pPr>
              <w:pStyle w:val="4"/>
            </w:pPr>
          </w:p>
        </w:tc>
        <w:tc>
          <w:tcPr>
            <w:gridSpan w:val="3"/>
            <w:tcMar>
              <w:top w:w="0" w:type="dxa"/>
              <w:left w:w="0" w:type="dxa"/>
              <w:bottom w:w="0" w:type="dxa"/>
              <w:right w:w="0" w:type="dxa"/>
            </w:tcMar>
            <w:vAlign w:val="top"/>
          </w:tcPr>
          <w:p>
            <w:pPr>
              <w:jc w:val="right"/>
            </w:pPr>
            <w:r>
              <w:rPr>
                <w:rFonts w:ascii="SansSerif" w:hAnsi="SansSerif" w:eastAsia="SansSerif" w:cs="SansSerif"/>
                <w:color w:val="000000"/>
                <w:sz w:val="18"/>
              </w:rPr>
              <w:t>2/</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7</w:t>
            </w:r>
          </w:p>
        </w:tc>
        <w:tc>
          <w:tcPr>
            <w:gridSpan w:val="3"/>
          </w:tcPr>
          <w:p>
            <w:pPr>
              <w:pStyle w:val="4"/>
            </w:pPr>
          </w:p>
        </w:tc>
        <w:tc>
          <w:p>
            <w:pPr>
              <w:pStyle w:val="4"/>
            </w:pPr>
          </w:p>
        </w:tc>
        <w:tc>
          <w:p>
            <w:pPr>
              <w:pStyle w:val="4"/>
            </w:pPr>
          </w:p>
        </w:tc>
      </w:tr>
      <w:tr>
        <w:tblPrEx>
          <w:tblCellMar>
            <w:top w:w="0" w:type="dxa"/>
            <w:left w:w="10" w:type="dxa"/>
            <w:bottom w:w="0" w:type="dxa"/>
            <w:right w:w="10" w:type="dxa"/>
          </w:tblCellMar>
        </w:tblPrEx>
        <w:trPr>
          <w:gridAfter w:val="4"/>
          <w:trHeight w:val="0" w:hRule="atLeast"/>
        </w:trPr>
        <w:tc>
          <w:p>
            <w:pPr>
              <w:pStyle w:val="4"/>
              <w:pageBreakBefore/>
            </w:pPr>
            <w:bookmarkStart w:id="2" w:name="JR_PAGE_ANCHOR_0_3"/>
            <w:bookmarkEnd w:id="2"/>
          </w:p>
        </w:tc>
        <w:tc>
          <w:tcPr>
            <w:gridSpan w:val="6"/>
          </w:tcPr>
          <w:p>
            <w:pPr>
              <w:pStyle w:val="4"/>
            </w:pPr>
          </w:p>
        </w:tc>
        <w:tc>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4"/>
          <w:trHeight w:val="400" w:hRule="atLeast"/>
        </w:trPr>
        <w:tc>
          <w:p>
            <w:pPr>
              <w:pStyle w:val="4"/>
            </w:pPr>
          </w:p>
        </w:tc>
        <w:tc>
          <w:tcPr>
            <w:gridSpan w:val="15"/>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兴银理财天天万利宝稳利恒盈7号封闭式净值型理财产品第28期2023年第一季度报告</w:t>
            </w:r>
          </w:p>
        </w:tc>
        <w:tc>
          <w:p>
            <w:pPr>
              <w:pStyle w:val="4"/>
            </w:pPr>
          </w:p>
        </w:tc>
      </w:tr>
      <w:tr>
        <w:tblPrEx>
          <w:tblCellMar>
            <w:top w:w="0" w:type="dxa"/>
            <w:left w:w="10" w:type="dxa"/>
            <w:bottom w:w="0" w:type="dxa"/>
            <w:right w:w="10" w:type="dxa"/>
          </w:tblCellMar>
        </w:tblPrEx>
        <w:trPr>
          <w:gridAfter w:val="4"/>
          <w:trHeight w:val="20" w:hRule="exact"/>
        </w:trPr>
        <w:tc>
          <w:p>
            <w:pPr>
              <w:pStyle w:val="4"/>
            </w:pPr>
          </w:p>
        </w:tc>
        <w:tc>
          <w:tcPr>
            <w:gridSpan w:val="6"/>
          </w:tcPr>
          <w:p>
            <w:pPr>
              <w:pStyle w:val="4"/>
            </w:pPr>
          </w:p>
        </w:tc>
        <w:tc>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4"/>
          <w:trHeight w:val="20" w:hRule="exact"/>
        </w:trPr>
        <w:tc>
          <w:p>
            <w:pPr>
              <w:pStyle w:val="4"/>
            </w:pPr>
          </w:p>
        </w:tc>
        <w:tc>
          <w:tcPr>
            <w:gridSpan w:val="15"/>
            <w:tcBorders>
              <w:top w:val="single" w:color="000000" w:sz="8" w:space="0"/>
            </w:tcBorders>
            <w:shd w:val="clear" w:color="auto" w:fill="FFFFFF"/>
            <w:tcMar>
              <w:top w:w="0" w:type="dxa"/>
              <w:left w:w="0" w:type="dxa"/>
              <w:bottom w:w="0" w:type="dxa"/>
              <w:right w:w="0" w:type="dxa"/>
            </w:tcMar>
          </w:tcPr>
          <w:p>
            <w:pPr>
              <w:pStyle w:val="4"/>
            </w:pPr>
          </w:p>
        </w:tc>
        <w:tc>
          <w:p>
            <w:pPr>
              <w:pStyle w:val="4"/>
            </w:pPr>
          </w:p>
        </w:tc>
      </w:tr>
      <w:tr>
        <w:tblPrEx>
          <w:tblCellMar>
            <w:top w:w="0" w:type="dxa"/>
            <w:left w:w="10" w:type="dxa"/>
            <w:bottom w:w="0" w:type="dxa"/>
            <w:right w:w="10" w:type="dxa"/>
          </w:tblCellMar>
        </w:tblPrEx>
        <w:trPr>
          <w:gridAfter w:val="4"/>
          <w:trHeight w:val="600" w:hRule="exact"/>
        </w:trPr>
        <w:tc>
          <w:p>
            <w:pPr>
              <w:pStyle w:val="4"/>
            </w:pPr>
          </w:p>
        </w:tc>
        <w:tc>
          <w:tcPr>
            <w:gridSpan w:val="6"/>
          </w:tcPr>
          <w:p>
            <w:pPr>
              <w:pStyle w:val="4"/>
            </w:pPr>
          </w:p>
        </w:tc>
        <w:tc>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4"/>
          <w:trHeight w:val="600" w:hRule="atLeast"/>
        </w:trPr>
        <w:tc>
          <w:p>
            <w:pPr>
              <w:pStyle w:val="4"/>
            </w:pPr>
          </w:p>
        </w:tc>
        <w:tc>
          <w:tcPr>
            <w:gridSpan w:val="15"/>
            <w:tcMar>
              <w:top w:w="0" w:type="dxa"/>
              <w:left w:w="0" w:type="dxa"/>
              <w:bottom w:w="0" w:type="dxa"/>
              <w:right w:w="0" w:type="dxa"/>
            </w:tcMar>
            <w:vAlign w:val="center"/>
          </w:tcPr>
          <w:p>
            <w:pPr>
              <w:jc w:val="center"/>
            </w:pPr>
            <w:r>
              <w:rPr>
                <w:rFonts w:ascii="宋体" w:hAnsi="宋体" w:eastAsia="宋体" w:cs="宋体"/>
                <w:b/>
                <w:color w:val="000000"/>
                <w:sz w:val="24"/>
              </w:rPr>
              <w:t>§ 一. 重要提示</w:t>
            </w:r>
          </w:p>
        </w:tc>
        <w:tc>
          <w:p>
            <w:pPr>
              <w:pStyle w:val="4"/>
            </w:pPr>
          </w:p>
        </w:tc>
      </w:tr>
      <w:tr>
        <w:tblPrEx>
          <w:tblCellMar>
            <w:top w:w="0" w:type="dxa"/>
            <w:left w:w="10" w:type="dxa"/>
            <w:bottom w:w="0" w:type="dxa"/>
            <w:right w:w="10" w:type="dxa"/>
          </w:tblCellMar>
        </w:tblPrEx>
        <w:trPr>
          <w:gridAfter w:val="4"/>
          <w:trHeight w:val="200" w:hRule="exact"/>
        </w:trPr>
        <w:tc>
          <w:p>
            <w:pPr>
              <w:pStyle w:val="4"/>
            </w:pPr>
          </w:p>
        </w:tc>
        <w:tc>
          <w:tcPr>
            <w:gridSpan w:val="6"/>
          </w:tcPr>
          <w:p>
            <w:pPr>
              <w:pStyle w:val="4"/>
            </w:pPr>
          </w:p>
        </w:tc>
        <w:tc>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4"/>
          <w:trHeight w:val="3080" w:hRule="atLeast"/>
        </w:trPr>
        <w:tc>
          <w:p>
            <w:pPr>
              <w:pStyle w:val="4"/>
            </w:pPr>
          </w:p>
        </w:tc>
        <w:tc>
          <w:tcPr>
            <w:gridSpan w:val="15"/>
            <w:tcBorders>
              <w:top w:val="dotted" w:color="000000" w:sz="8" w:space="0"/>
              <w:left w:val="dotted" w:color="000000" w:sz="8" w:space="0"/>
              <w:bottom w:val="dotted" w:color="000000" w:sz="8" w:space="0"/>
              <w:right w:val="dotted" w:color="000000" w:sz="8" w:space="0"/>
            </w:tcBorders>
            <w:tcMar>
              <w:top w:w="0" w:type="dxa"/>
              <w:left w:w="0" w:type="dxa"/>
              <w:bottom w:w="0" w:type="dxa"/>
              <w:right w:w="0" w:type="dxa"/>
            </w:tcMar>
            <w:vAlign w:val="top"/>
          </w:tcPr>
          <w:p>
            <w:pPr>
              <w:spacing w:before="0" w:after="0" w:line="360" w:lineRule="auto"/>
              <w:jc w:val="left"/>
            </w:pPr>
            <w:r>
              <w:rPr>
                <w:rFonts w:ascii="仿宋" w:hAnsi="仿宋" w:eastAsia="仿宋" w:cs="仿宋"/>
                <w:color w:val="000000"/>
                <w:sz w:val="21"/>
              </w:rPr>
              <w:br w:type="textWrapping"/>
            </w:r>
            <w:r>
              <w:rPr>
                <w:rFonts w:ascii="仿宋" w:hAnsi="仿宋" w:eastAsia="仿宋" w:cs="仿宋"/>
                <w:color w:val="000000"/>
                <w:sz w:val="21"/>
              </w:rPr>
              <w:t xml:space="preserve"> 1. 温馨提醒：理财非存款，产品有风险，投资需谨慎！</w:t>
            </w:r>
            <w:r>
              <w:rPr>
                <w:rFonts w:ascii="仿宋" w:hAnsi="仿宋" w:eastAsia="仿宋" w:cs="仿宋"/>
                <w:color w:val="000000"/>
                <w:sz w:val="21"/>
              </w:rPr>
              <w:br w:type="textWrapping"/>
            </w:r>
            <w:r>
              <w:rPr>
                <w:rFonts w:ascii="仿宋" w:hAnsi="仿宋" w:eastAsia="仿宋" w:cs="仿宋"/>
                <w:color w:val="000000"/>
                <w:sz w:val="21"/>
              </w:rPr>
              <w:t xml:space="preserve"> 2. 理财信息可供参考，详情请咨询理财经理，或在“中国理财网（www.chinawealth.com.cn）”查询该产品相关信息。</w:t>
            </w:r>
            <w:r>
              <w:rPr>
                <w:rFonts w:ascii="仿宋" w:hAnsi="仿宋" w:eastAsia="仿宋" w:cs="仿宋"/>
                <w:color w:val="000000"/>
                <w:sz w:val="21"/>
              </w:rPr>
              <w:br w:type="textWrapping"/>
            </w:r>
            <w:r>
              <w:rPr>
                <w:rFonts w:ascii="仿宋" w:hAnsi="仿宋" w:eastAsia="仿宋" w:cs="仿宋"/>
                <w:color w:val="000000"/>
                <w:sz w:val="21"/>
              </w:rPr>
              <w:t xml:space="preserve"> 3. 兴银理财有限责任公司保留对所有文字说明的最终解释权。</w:t>
            </w:r>
            <w:r>
              <w:rPr>
                <w:rFonts w:ascii="仿宋" w:hAnsi="仿宋" w:eastAsia="仿宋" w:cs="仿宋"/>
                <w:color w:val="000000"/>
                <w:sz w:val="21"/>
              </w:rPr>
              <w:br w:type="textWrapping"/>
            </w:r>
            <w:r>
              <w:rPr>
                <w:rFonts w:ascii="仿宋" w:hAnsi="仿宋" w:eastAsia="仿宋" w:cs="仿宋"/>
                <w:color w:val="000000"/>
                <w:sz w:val="21"/>
              </w:rPr>
              <w:t xml:space="preserve"> 4. 投资组合情况（期末资产组合情况、杠杆比例、资产前十持仓等）详情请理财持有人登录网银后进行查询。</w:t>
            </w:r>
            <w:r>
              <w:rPr>
                <w:rFonts w:ascii="仿宋" w:hAnsi="仿宋" w:eastAsia="仿宋" w:cs="仿宋"/>
                <w:color w:val="000000"/>
                <w:sz w:val="21"/>
              </w:rPr>
              <w:br w:type="textWrapping"/>
            </w:r>
          </w:p>
        </w:tc>
        <w:tc>
          <w:p>
            <w:pPr>
              <w:pStyle w:val="4"/>
            </w:pPr>
          </w:p>
        </w:tc>
      </w:tr>
      <w:tr>
        <w:tblPrEx>
          <w:tblCellMar>
            <w:top w:w="0" w:type="dxa"/>
            <w:left w:w="10" w:type="dxa"/>
            <w:bottom w:w="0" w:type="dxa"/>
            <w:right w:w="10" w:type="dxa"/>
          </w:tblCellMar>
        </w:tblPrEx>
        <w:trPr>
          <w:gridAfter w:val="4"/>
          <w:trHeight w:val="600" w:hRule="exact"/>
        </w:trPr>
        <w:tc>
          <w:p>
            <w:pPr>
              <w:pStyle w:val="4"/>
            </w:pPr>
          </w:p>
        </w:tc>
        <w:tc>
          <w:tcPr>
            <w:gridSpan w:val="6"/>
          </w:tcPr>
          <w:p>
            <w:pPr>
              <w:pStyle w:val="4"/>
            </w:pPr>
          </w:p>
        </w:tc>
        <w:tc>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4"/>
          <w:trHeight w:val="600" w:hRule="atLeast"/>
        </w:trPr>
        <w:tc>
          <w:p>
            <w:pPr>
              <w:pStyle w:val="4"/>
            </w:pPr>
          </w:p>
        </w:tc>
        <w:tc>
          <w:tcPr>
            <w:gridSpan w:val="15"/>
            <w:tcMar>
              <w:top w:w="0" w:type="dxa"/>
              <w:left w:w="0" w:type="dxa"/>
              <w:bottom w:w="0" w:type="dxa"/>
              <w:right w:w="0" w:type="dxa"/>
            </w:tcMar>
            <w:vAlign w:val="center"/>
          </w:tcPr>
          <w:p>
            <w:pPr>
              <w:jc w:val="center"/>
            </w:pPr>
            <w:r>
              <w:rPr>
                <w:rFonts w:ascii="宋体" w:hAnsi="宋体" w:eastAsia="宋体" w:cs="宋体"/>
                <w:b/>
                <w:color w:val="000000"/>
                <w:sz w:val="24"/>
              </w:rPr>
              <w:t>§ 二. 产品基本情况</w:t>
            </w:r>
          </w:p>
        </w:tc>
        <w:tc>
          <w:p>
            <w:pPr>
              <w:pStyle w:val="4"/>
            </w:pPr>
          </w:p>
        </w:tc>
      </w:tr>
      <w:tr>
        <w:tblPrEx>
          <w:tblCellMar>
            <w:top w:w="0" w:type="dxa"/>
            <w:left w:w="10" w:type="dxa"/>
            <w:bottom w:w="0" w:type="dxa"/>
            <w:right w:w="10" w:type="dxa"/>
          </w:tblCellMar>
        </w:tblPrEx>
        <w:trPr>
          <w:gridAfter w:val="4"/>
          <w:trHeight w:val="200" w:hRule="exact"/>
        </w:trPr>
        <w:tc>
          <w:p>
            <w:pPr>
              <w:pStyle w:val="4"/>
            </w:pPr>
          </w:p>
        </w:tc>
        <w:tc>
          <w:tcPr>
            <w:gridSpan w:val="6"/>
          </w:tcPr>
          <w:p>
            <w:pPr>
              <w:pStyle w:val="4"/>
            </w:pPr>
          </w:p>
        </w:tc>
        <w:tc>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4"/>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产品名称</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spacing w:before="0" w:after="0" w:line="240" w:lineRule="auto"/>
              <w:ind w:firstLine="200"/>
            </w:pPr>
            <w:r>
              <w:rPr>
                <w:rFonts w:ascii="宋体" w:hAnsi="宋体" w:eastAsia="宋体" w:cs="宋体"/>
                <w:color w:val="000000"/>
                <w:sz w:val="21"/>
              </w:rPr>
              <w:t>兴银理财天天万利宝稳利恒盈7号封闭式净值型理财产品第28期</w:t>
            </w:r>
          </w:p>
        </w:tc>
        <w:tc>
          <w:p>
            <w:pPr>
              <w:pStyle w:val="4"/>
            </w:pPr>
          </w:p>
        </w:tc>
      </w:tr>
      <w:tr>
        <w:tblPrEx>
          <w:tblCellMar>
            <w:top w:w="0" w:type="dxa"/>
            <w:left w:w="10" w:type="dxa"/>
            <w:bottom w:w="0" w:type="dxa"/>
            <w:right w:w="10" w:type="dxa"/>
          </w:tblCellMar>
        </w:tblPrEx>
        <w:trPr>
          <w:gridAfter w:val="4"/>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产品代码</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9N213280</w:t>
            </w:r>
          </w:p>
        </w:tc>
        <w:tc>
          <w:p>
            <w:pPr>
              <w:pStyle w:val="4"/>
            </w:pPr>
          </w:p>
        </w:tc>
      </w:tr>
      <w:tr>
        <w:tblPrEx>
          <w:tblCellMar>
            <w:top w:w="0" w:type="dxa"/>
            <w:left w:w="10" w:type="dxa"/>
            <w:bottom w:w="0" w:type="dxa"/>
            <w:right w:w="10" w:type="dxa"/>
          </w:tblCellMar>
        </w:tblPrEx>
        <w:trPr>
          <w:gridAfter w:val="4"/>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全国银行业理财信息登记系统登记编码</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Z7002022000022</w:t>
            </w:r>
          </w:p>
        </w:tc>
        <w:tc>
          <w:p>
            <w:pPr>
              <w:pStyle w:val="4"/>
            </w:pPr>
          </w:p>
        </w:tc>
      </w:tr>
      <w:tr>
        <w:tblPrEx>
          <w:tblCellMar>
            <w:top w:w="0" w:type="dxa"/>
            <w:left w:w="10" w:type="dxa"/>
            <w:bottom w:w="0" w:type="dxa"/>
            <w:right w:w="10" w:type="dxa"/>
          </w:tblCellMar>
        </w:tblPrEx>
        <w:trPr>
          <w:gridAfter w:val="4"/>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产品运作方式</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封闭式</w:t>
            </w:r>
          </w:p>
        </w:tc>
        <w:tc>
          <w:p>
            <w:pPr>
              <w:pStyle w:val="4"/>
            </w:pPr>
          </w:p>
        </w:tc>
      </w:tr>
      <w:tr>
        <w:tblPrEx>
          <w:tblCellMar>
            <w:top w:w="0" w:type="dxa"/>
            <w:left w:w="10" w:type="dxa"/>
            <w:bottom w:w="0" w:type="dxa"/>
            <w:right w:w="10" w:type="dxa"/>
          </w:tblCellMar>
        </w:tblPrEx>
        <w:trPr>
          <w:gridAfter w:val="4"/>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产品募集方式</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公募</w:t>
            </w:r>
          </w:p>
        </w:tc>
        <w:tc>
          <w:p>
            <w:pPr>
              <w:pStyle w:val="4"/>
            </w:pPr>
          </w:p>
        </w:tc>
      </w:tr>
      <w:tr>
        <w:tblPrEx>
          <w:tblCellMar>
            <w:top w:w="0" w:type="dxa"/>
            <w:left w:w="10" w:type="dxa"/>
            <w:bottom w:w="0" w:type="dxa"/>
            <w:right w:w="10" w:type="dxa"/>
          </w:tblCellMar>
        </w:tblPrEx>
        <w:trPr>
          <w:gridAfter w:val="4"/>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投资类型</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固定收益类</w:t>
            </w:r>
          </w:p>
        </w:tc>
        <w:tc>
          <w:p>
            <w:pPr>
              <w:pStyle w:val="4"/>
            </w:pPr>
          </w:p>
        </w:tc>
      </w:tr>
      <w:tr>
        <w:tblPrEx>
          <w:tblCellMar>
            <w:top w:w="0" w:type="dxa"/>
            <w:left w:w="10" w:type="dxa"/>
            <w:bottom w:w="0" w:type="dxa"/>
            <w:right w:w="10" w:type="dxa"/>
          </w:tblCellMar>
        </w:tblPrEx>
        <w:trPr>
          <w:gridAfter w:val="4"/>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报告期末产品份额总额</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874,639,903.43份</w:t>
            </w:r>
          </w:p>
        </w:tc>
        <w:tc>
          <w:p>
            <w:pPr>
              <w:pStyle w:val="4"/>
            </w:pPr>
          </w:p>
        </w:tc>
      </w:tr>
      <w:tr>
        <w:tblPrEx>
          <w:tblCellMar>
            <w:top w:w="0" w:type="dxa"/>
            <w:left w:w="10" w:type="dxa"/>
            <w:bottom w:w="0" w:type="dxa"/>
            <w:right w:w="10" w:type="dxa"/>
          </w:tblCellMar>
        </w:tblPrEx>
        <w:trPr>
          <w:gridAfter w:val="4"/>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业绩比较基准/业绩报酬计提基准</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jc w:val="left"/>
            </w:pPr>
            <w:r>
              <w:rPr>
                <w:rFonts w:ascii="宋体" w:hAnsi="宋体" w:eastAsia="宋体" w:cs="宋体"/>
                <w:color w:val="000000"/>
                <w:sz w:val="21"/>
              </w:rPr>
              <w:t>3.70%/3.70%</w:t>
            </w:r>
          </w:p>
        </w:tc>
        <w:tc>
          <w:p>
            <w:pPr>
              <w:pStyle w:val="4"/>
            </w:pPr>
          </w:p>
        </w:tc>
      </w:tr>
      <w:tr>
        <w:tblPrEx>
          <w:tblCellMar>
            <w:top w:w="0" w:type="dxa"/>
            <w:left w:w="10" w:type="dxa"/>
            <w:bottom w:w="0" w:type="dxa"/>
            <w:right w:w="10" w:type="dxa"/>
          </w:tblCellMar>
        </w:tblPrEx>
        <w:trPr>
          <w:gridAfter w:val="4"/>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投资币种</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人民币</w:t>
            </w:r>
          </w:p>
        </w:tc>
        <w:tc>
          <w:p>
            <w:pPr>
              <w:pStyle w:val="4"/>
            </w:pPr>
          </w:p>
        </w:tc>
      </w:tr>
      <w:tr>
        <w:tblPrEx>
          <w:tblCellMar>
            <w:top w:w="0" w:type="dxa"/>
            <w:left w:w="10" w:type="dxa"/>
            <w:bottom w:w="0" w:type="dxa"/>
            <w:right w:w="10" w:type="dxa"/>
          </w:tblCellMar>
        </w:tblPrEx>
        <w:trPr>
          <w:gridAfter w:val="4"/>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风险等级</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jc w:val="left"/>
            </w:pPr>
            <w:r>
              <w:rPr>
                <w:rFonts w:ascii="宋体" w:hAnsi="宋体" w:eastAsia="宋体" w:cs="宋体"/>
                <w:color w:val="000000"/>
                <w:sz w:val="21"/>
              </w:rPr>
              <w:t>R2</w:t>
            </w:r>
          </w:p>
        </w:tc>
        <w:tc>
          <w:p>
            <w:pPr>
              <w:pStyle w:val="4"/>
            </w:pPr>
          </w:p>
        </w:tc>
      </w:tr>
      <w:tr>
        <w:tblPrEx>
          <w:tblCellMar>
            <w:top w:w="0" w:type="dxa"/>
            <w:left w:w="10" w:type="dxa"/>
            <w:bottom w:w="0" w:type="dxa"/>
            <w:right w:w="10" w:type="dxa"/>
          </w:tblCellMar>
        </w:tblPrEx>
        <w:trPr>
          <w:gridAfter w:val="4"/>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产品管理人</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兴银理财有限责任公司</w:t>
            </w:r>
          </w:p>
        </w:tc>
        <w:tc>
          <w:p>
            <w:pPr>
              <w:pStyle w:val="4"/>
            </w:pPr>
          </w:p>
        </w:tc>
      </w:tr>
      <w:tr>
        <w:tblPrEx>
          <w:tblCellMar>
            <w:top w:w="0" w:type="dxa"/>
            <w:left w:w="10" w:type="dxa"/>
            <w:bottom w:w="0" w:type="dxa"/>
            <w:right w:w="10" w:type="dxa"/>
          </w:tblCellMar>
        </w:tblPrEx>
        <w:trPr>
          <w:gridAfter w:val="4"/>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产品托管人</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spacing w:before="0" w:after="0" w:line="240" w:lineRule="auto"/>
              <w:ind w:firstLine="200"/>
            </w:pPr>
            <w:r>
              <w:rPr>
                <w:rFonts w:ascii="宋体" w:hAnsi="宋体" w:eastAsia="宋体" w:cs="宋体"/>
                <w:color w:val="000000"/>
                <w:sz w:val="21"/>
              </w:rPr>
              <w:t>兴业银行股份有限公司</w:t>
            </w:r>
          </w:p>
        </w:tc>
        <w:tc>
          <w:p>
            <w:pPr>
              <w:pStyle w:val="4"/>
            </w:pPr>
          </w:p>
        </w:tc>
      </w:tr>
      <w:tr>
        <w:tblPrEx>
          <w:tblCellMar>
            <w:top w:w="0" w:type="dxa"/>
            <w:left w:w="10" w:type="dxa"/>
            <w:bottom w:w="0" w:type="dxa"/>
            <w:right w:w="10" w:type="dxa"/>
          </w:tblCellMar>
        </w:tblPrEx>
        <w:trPr>
          <w:gridAfter w:val="4"/>
          <w:trHeight w:val="2400" w:hRule="exact"/>
        </w:trPr>
        <w:tc>
          <w:p>
            <w:pPr>
              <w:pStyle w:val="4"/>
            </w:pPr>
          </w:p>
        </w:tc>
        <w:tc>
          <w:tcPr>
            <w:gridSpan w:val="15"/>
            <w:tcBorders>
              <w:top w:val="single" w:color="000000" w:sz="2" w:space="0"/>
              <w:left w:val="single" w:color="000000" w:sz="2" w:space="0"/>
              <w:bottom w:val="single" w:color="000000" w:sz="2" w:space="0"/>
              <w:right w:val="single" w:color="000000" w:sz="2"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gridCol w:w="3600"/>
              <w:gridCol w:w="4100"/>
            </w:tblGrid>
            <w:tr>
              <w:tblPrEx>
                <w:tblCellMar>
                  <w:top w:w="0" w:type="dxa"/>
                  <w:left w:w="10" w:type="dxa"/>
                  <w:bottom w:w="0" w:type="dxa"/>
                  <w:right w:w="10" w:type="dxa"/>
                </w:tblCellMar>
              </w:tblPrEx>
              <w:trPr>
                <w:trHeight w:val="580" w:hRule="exact"/>
              </w:trPr>
              <w:tc>
                <w:tcPr>
                  <w:tcBorders>
                    <w:top w:val="single" w:color="000000" w:sz="2" w:space="0"/>
                    <w:left w:val="single" w:color="000000" w:sz="2" w:space="0"/>
                    <w:bottom w:val="single" w:color="000000" w:sz="2" w:space="0"/>
                    <w:right w:val="single" w:color="000000" w:sz="2"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2980"/>
                    <w:gridCol w:w="20"/>
                  </w:tblGrid>
                  <w:tr>
                    <w:trPr>
                      <w:trHeight w:val="580" w:hRule="atLeast"/>
                    </w:trPr>
                    <w:tc>
                      <w:tcPr>
                        <w:tcMar>
                          <w:top w:w="0" w:type="dxa"/>
                          <w:left w:w="0" w:type="dxa"/>
                          <w:bottom w:w="0" w:type="dxa"/>
                          <w:right w:w="0" w:type="dxa"/>
                        </w:tcMar>
                        <w:vAlign w:val="center"/>
                      </w:tcPr>
                      <w:p>
                        <w:pPr>
                          <w:ind w:firstLine="0"/>
                          <w:jc w:val="center"/>
                        </w:pPr>
                        <w:r>
                          <w:rPr>
                            <w:rFonts w:ascii="宋体" w:hAnsi="宋体" w:eastAsia="宋体" w:cs="宋体"/>
                            <w:color w:val="000000"/>
                            <w:sz w:val="21"/>
                          </w:rPr>
                          <w:t>下属子份额的销售名称</w:t>
                        </w:r>
                      </w:p>
                    </w:tc>
                    <w:tc>
                      <w:p>
                        <w:pPr>
                          <w:pStyle w:val="4"/>
                        </w:pPr>
                      </w:p>
                    </w:tc>
                  </w:tr>
                </w:tbl>
                <w:p>
                  <w:pPr>
                    <w:pStyle w:val="4"/>
                  </w:pPr>
                </w:p>
              </w:tc>
              <w:tc>
                <w:tcPr>
                  <w:tcBorders>
                    <w:top w:val="single" w:color="000000" w:sz="2" w:space="0"/>
                    <w:left w:val="single" w:color="000000" w:sz="2" w:space="0"/>
                    <w:bottom w:val="single" w:color="000000" w:sz="2" w:space="0"/>
                    <w:right w:val="single" w:color="000000" w:sz="2"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ind w:firstLine="200"/>
                          <w:jc w:val="center"/>
                        </w:pPr>
                        <w:r>
                          <w:rPr>
                            <w:rFonts w:ascii="宋体" w:hAnsi="宋体" w:eastAsia="宋体" w:cs="宋体"/>
                            <w:color w:val="000000"/>
                            <w:sz w:val="21"/>
                          </w:rPr>
                          <w:t>下属子份额的销售代码</w:t>
                        </w:r>
                      </w:p>
                    </w:tc>
                  </w:tr>
                </w:tbl>
                <w:p>
                  <w:pPr>
                    <w:pStyle w:val="4"/>
                  </w:pPr>
                </w:p>
              </w:tc>
              <w:tc>
                <w:tcPr>
                  <w:tcBorders>
                    <w:top w:val="single" w:color="000000" w:sz="2" w:space="0"/>
                    <w:left w:val="single" w:color="000000" w:sz="2" w:space="0"/>
                    <w:bottom w:val="single" w:color="000000" w:sz="2"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4100"/>
                  </w:tblGrid>
                  <w:tr>
                    <w:trPr>
                      <w:trHeight w:val="580" w:hRule="atLeast"/>
                    </w:trPr>
                    <w:tc>
                      <w:tcPr>
                        <w:tcMar>
                          <w:top w:w="0" w:type="dxa"/>
                          <w:left w:w="0" w:type="dxa"/>
                          <w:bottom w:w="0" w:type="dxa"/>
                          <w:right w:w="20" w:type="dxa"/>
                        </w:tcMar>
                        <w:vAlign w:val="center"/>
                      </w:tcPr>
                      <w:p>
                        <w:pPr>
                          <w:ind w:firstLine="200"/>
                          <w:jc w:val="center"/>
                        </w:pPr>
                        <w:r>
                          <w:rPr>
                            <w:rFonts w:ascii="宋体" w:hAnsi="宋体" w:eastAsia="宋体" w:cs="宋体"/>
                            <w:color w:val="000000"/>
                            <w:sz w:val="21"/>
                          </w:rPr>
                          <w:t>报告期末下属子份额的产品份额总数</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2" w:space="0"/>
                    <w:left w:val="single" w:color="000000" w:sz="2" w:space="0"/>
                    <w:bottom w:val="single" w:color="000000" w:sz="2" w:space="0"/>
                    <w:right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rPr>
                      <w:trHeight w:val="560" w:hRule="atLeast"/>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稳利恒盈7号第28期 14M封闭（纯盈款）A</w:t>
                        </w:r>
                      </w:p>
                    </w:tc>
                  </w:tr>
                </w:tbl>
                <w:p>
                  <w:pPr>
                    <w:pStyle w:val="4"/>
                  </w:pPr>
                </w:p>
              </w:tc>
              <w:tc>
                <w:tcPr>
                  <w:tcBorders>
                    <w:top w:val="single" w:color="000000" w:sz="2" w:space="0"/>
                    <w:left w:val="single" w:color="000000" w:sz="2" w:space="0"/>
                    <w:bottom w:val="single" w:color="000000" w:sz="2" w:space="0"/>
                    <w:right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560" w:hRule="atLeast"/>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9N21328A</w:t>
                        </w:r>
                      </w:p>
                    </w:tc>
                  </w:tr>
                </w:tbl>
                <w:p>
                  <w:pPr>
                    <w:pStyle w:val="4"/>
                  </w:pPr>
                </w:p>
              </w:tc>
              <w:tc>
                <w:tcPr>
                  <w:tcBorders>
                    <w:top w:val="single" w:color="000000" w:sz="2" w:space="0"/>
                    <w:left w:val="single" w:color="000000" w:sz="2" w:space="0"/>
                    <w:bottom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4100"/>
                  </w:tblGrid>
                  <w:tr>
                    <w:tblPrEx>
                      <w:tblCellMar>
                        <w:top w:w="0" w:type="dxa"/>
                        <w:left w:w="10" w:type="dxa"/>
                        <w:bottom w:w="0" w:type="dxa"/>
                        <w:right w:w="10" w:type="dxa"/>
                      </w:tblCellMar>
                    </w:tblPrEx>
                    <w:trPr>
                      <w:trHeight w:val="560" w:hRule="atLeast"/>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842,370,538.61</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2" w:space="0"/>
                    <w:left w:val="single" w:color="000000" w:sz="2" w:space="0"/>
                    <w:bottom w:val="single" w:color="000000" w:sz="2" w:space="0"/>
                    <w:right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rPr>
                      <w:trHeight w:val="560" w:hRule="atLeast"/>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稳利恒盈7号第28期 14M封闭（纯盈款）B</w:t>
                        </w:r>
                      </w:p>
                    </w:tc>
                  </w:tr>
                </w:tbl>
                <w:p>
                  <w:pPr>
                    <w:pStyle w:val="4"/>
                  </w:pPr>
                </w:p>
              </w:tc>
              <w:tc>
                <w:tcPr>
                  <w:tcBorders>
                    <w:top w:val="single" w:color="000000" w:sz="2" w:space="0"/>
                    <w:left w:val="single" w:color="000000" w:sz="2" w:space="0"/>
                    <w:bottom w:val="single" w:color="000000" w:sz="2" w:space="0"/>
                    <w:right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rPr>
                      <w:trHeight w:val="560" w:hRule="atLeast"/>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9N21328B</w:t>
                        </w:r>
                      </w:p>
                    </w:tc>
                  </w:tr>
                </w:tbl>
                <w:p>
                  <w:pPr>
                    <w:pStyle w:val="4"/>
                  </w:pPr>
                </w:p>
              </w:tc>
              <w:tc>
                <w:tcPr>
                  <w:tcBorders>
                    <w:top w:val="single" w:color="000000" w:sz="2" w:space="0"/>
                    <w:left w:val="single" w:color="000000" w:sz="2" w:space="0"/>
                    <w:bottom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4100"/>
                  </w:tblGrid>
                  <w:tr>
                    <w:tblPrEx>
                      <w:tblCellMar>
                        <w:top w:w="0" w:type="dxa"/>
                        <w:left w:w="10" w:type="dxa"/>
                        <w:bottom w:w="0" w:type="dxa"/>
                        <w:right w:w="10" w:type="dxa"/>
                      </w:tblCellMar>
                    </w:tblPrEx>
                    <w:trPr>
                      <w:trHeight w:val="560" w:hRule="atLeast"/>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5,848,301.34</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2" w:space="0"/>
                    <w:left w:val="single" w:color="000000" w:sz="2" w:space="0"/>
                    <w:bottom w:val="single" w:color="000000" w:sz="2" w:space="0"/>
                    <w:right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rPr>
                      <w:trHeight w:val="560" w:hRule="atLeast"/>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稳利恒盈7号第28期 14M封闭（纯盈款）C</w:t>
                        </w:r>
                      </w:p>
                    </w:tc>
                  </w:tr>
                </w:tbl>
                <w:p>
                  <w:pPr>
                    <w:pStyle w:val="4"/>
                  </w:pPr>
                </w:p>
              </w:tc>
              <w:tc>
                <w:tcPr>
                  <w:tcBorders>
                    <w:top w:val="single" w:color="000000" w:sz="2" w:space="0"/>
                    <w:left w:val="single" w:color="000000" w:sz="2" w:space="0"/>
                    <w:bottom w:val="single" w:color="000000" w:sz="2" w:space="0"/>
                    <w:right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560" w:hRule="atLeast"/>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9N21328C</w:t>
                        </w:r>
                      </w:p>
                    </w:tc>
                  </w:tr>
                </w:tbl>
                <w:p>
                  <w:pPr>
                    <w:pStyle w:val="4"/>
                  </w:pPr>
                </w:p>
              </w:tc>
              <w:tc>
                <w:tcPr>
                  <w:tcBorders>
                    <w:top w:val="single" w:color="000000" w:sz="2" w:space="0"/>
                    <w:left w:val="single" w:color="000000" w:sz="2" w:space="0"/>
                    <w:bottom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4100"/>
                  </w:tblGrid>
                  <w:tr>
                    <w:trPr>
                      <w:trHeight w:val="560" w:hRule="atLeast"/>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25,296,594.48</w:t>
                        </w:r>
                      </w:p>
                    </w:tc>
                  </w:tr>
                </w:tbl>
                <w:p>
                  <w:pPr>
                    <w:pStyle w:val="4"/>
                  </w:pPr>
                </w:p>
              </w:tc>
            </w:tr>
          </w:tbl>
          <w:p>
            <w:pPr>
              <w:pStyle w:val="4"/>
            </w:pPr>
          </w:p>
        </w:tc>
        <w:tc>
          <w:p>
            <w:pPr>
              <w:pStyle w:val="4"/>
            </w:pPr>
          </w:p>
        </w:tc>
      </w:tr>
      <w:tr>
        <w:tblPrEx>
          <w:tblCellMar>
            <w:top w:w="0" w:type="dxa"/>
            <w:left w:w="10" w:type="dxa"/>
            <w:bottom w:w="0" w:type="dxa"/>
            <w:right w:w="10" w:type="dxa"/>
          </w:tblCellMar>
        </w:tblPrEx>
        <w:trPr>
          <w:gridAfter w:val="4"/>
          <w:trHeight w:val="520" w:hRule="exact"/>
        </w:trPr>
        <w:tc>
          <w:p>
            <w:pPr>
              <w:pStyle w:val="4"/>
            </w:pPr>
          </w:p>
        </w:tc>
        <w:tc>
          <w:tcPr>
            <w:gridSpan w:val="6"/>
          </w:tcPr>
          <w:p>
            <w:pPr>
              <w:pStyle w:val="4"/>
            </w:pPr>
          </w:p>
        </w:tc>
        <w:tc>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4"/>
          <w:trHeight w:val="400" w:hRule="atLeast"/>
        </w:trPr>
        <w:tc>
          <w:p>
            <w:pPr>
              <w:pStyle w:val="4"/>
            </w:pPr>
          </w:p>
        </w:tc>
        <w:tc>
          <w:tcPr>
            <w:gridSpan w:val="6"/>
          </w:tcPr>
          <w:p>
            <w:pPr>
              <w:pStyle w:val="4"/>
            </w:pPr>
          </w:p>
        </w:tc>
        <w:tc>
          <w:tcPr>
            <w:gridSpan w:val="3"/>
            <w:tcMar>
              <w:top w:w="0" w:type="dxa"/>
              <w:left w:w="0" w:type="dxa"/>
              <w:bottom w:w="0" w:type="dxa"/>
              <w:right w:w="0" w:type="dxa"/>
            </w:tcMar>
            <w:vAlign w:val="top"/>
          </w:tcPr>
          <w:p>
            <w:pPr>
              <w:jc w:val="right"/>
            </w:pPr>
            <w:r>
              <w:rPr>
                <w:rFonts w:ascii="SansSerif" w:hAnsi="SansSerif" w:eastAsia="SansSerif" w:cs="SansSerif"/>
                <w:color w:val="000000"/>
                <w:sz w:val="18"/>
              </w:rPr>
              <w:t>3/</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7</w:t>
            </w:r>
          </w:p>
        </w:tc>
        <w:tc>
          <w:tcPr>
            <w:gridSpan w:val="4"/>
          </w:tcPr>
          <w:p>
            <w:pPr>
              <w:pStyle w:val="4"/>
            </w:pPr>
          </w:p>
        </w:tc>
        <w:tc>
          <w:p>
            <w:pPr>
              <w:pStyle w:val="4"/>
            </w:pPr>
          </w:p>
        </w:tc>
      </w:tr>
      <w:tr>
        <w:tblPrEx>
          <w:tblCellMar>
            <w:top w:w="0" w:type="dxa"/>
            <w:left w:w="10" w:type="dxa"/>
            <w:bottom w:w="0" w:type="dxa"/>
            <w:right w:w="10" w:type="dxa"/>
          </w:tblCellMar>
        </w:tblPrEx>
        <w:trPr>
          <w:trHeight w:val="0" w:hRule="atLeast"/>
        </w:trPr>
        <w:tc>
          <w:p>
            <w:pPr>
              <w:pStyle w:val="4"/>
              <w:pageBreakBefore/>
            </w:pPr>
            <w:bookmarkStart w:id="3" w:name="JR_PAGE_ANCHOR_0_4"/>
            <w:bookmarkEnd w:id="3"/>
          </w:p>
        </w:tc>
        <w:tc>
          <w:tcPr>
            <w:gridSpan w:val="2"/>
          </w:tcPr>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15"/>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兴银理财天天万利宝稳利恒盈7号封闭式净值型理财产品第28期2023年第一季度报告</w:t>
            </w:r>
          </w:p>
        </w:tc>
        <w:tc>
          <w:tcPr>
            <w:gridSpan w:val="4"/>
          </w:tcPr>
          <w:p>
            <w:pPr>
              <w:pStyle w:val="4"/>
            </w:pPr>
          </w:p>
        </w:tc>
        <w:tc>
          <w:p>
            <w:pPr>
              <w:pStyle w:val="4"/>
            </w:pPr>
          </w:p>
        </w:tc>
      </w:tr>
      <w:tr>
        <w:tblPrEx>
          <w:tblCellMar>
            <w:top w:w="0" w:type="dxa"/>
            <w:left w:w="10" w:type="dxa"/>
            <w:bottom w:w="0" w:type="dxa"/>
            <w:right w:w="10" w:type="dxa"/>
          </w:tblCellMar>
        </w:tblPrEx>
        <w:trPr>
          <w:trHeight w:val="20" w:hRule="exact"/>
        </w:trPr>
        <w:tc>
          <w:p>
            <w:pPr>
              <w:pStyle w:val="4"/>
            </w:pPr>
          </w:p>
        </w:tc>
        <w:tc>
          <w:tcPr>
            <w:gridSpan w:val="2"/>
          </w:tcPr>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20" w:hRule="exact"/>
        </w:trPr>
        <w:tc>
          <w:p>
            <w:pPr>
              <w:pStyle w:val="4"/>
            </w:pPr>
          </w:p>
        </w:tc>
        <w:tc>
          <w:tcPr>
            <w:gridSpan w:val="15"/>
            <w:tcBorders>
              <w:top w:val="single" w:color="000000" w:sz="8" w:space="0"/>
            </w:tcBorders>
            <w:shd w:val="clear" w:color="auto" w:fill="FFFFFF"/>
            <w:tcMar>
              <w:top w:w="0" w:type="dxa"/>
              <w:left w:w="0" w:type="dxa"/>
              <w:bottom w:w="0" w:type="dxa"/>
              <w:right w:w="0" w:type="dxa"/>
            </w:tcMar>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1200" w:hRule="exact"/>
        </w:trPr>
        <w:tc>
          <w:p>
            <w:pPr>
              <w:pStyle w:val="4"/>
            </w:pPr>
          </w:p>
        </w:tc>
        <w:tc>
          <w:tcPr>
            <w:gridSpan w:val="15"/>
            <w:tcBorders>
              <w:top w:val="single" w:color="000000" w:sz="2" w:space="0"/>
              <w:left w:val="single" w:color="000000" w:sz="2" w:space="0"/>
              <w:bottom w:val="single" w:color="000000" w:sz="2" w:space="0"/>
              <w:right w:val="single" w:color="000000" w:sz="2"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gridCol w:w="3600"/>
              <w:gridCol w:w="4100"/>
            </w:tblGrid>
            <w:tr>
              <w:tblPrEx>
                <w:tblCellMar>
                  <w:top w:w="0" w:type="dxa"/>
                  <w:left w:w="10" w:type="dxa"/>
                  <w:bottom w:w="0" w:type="dxa"/>
                  <w:right w:w="10" w:type="dxa"/>
                </w:tblCellMar>
              </w:tblPrEx>
              <w:trPr>
                <w:trHeight w:val="580" w:hRule="exact"/>
              </w:trPr>
              <w:tc>
                <w:tcPr>
                  <w:tcBorders>
                    <w:top w:val="single" w:color="000000" w:sz="2" w:space="0"/>
                    <w:left w:val="single" w:color="000000" w:sz="2" w:space="0"/>
                    <w:bottom w:val="single" w:color="000000" w:sz="2" w:space="0"/>
                    <w:right w:val="single" w:color="000000" w:sz="2"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2980"/>
                    <w:gridCol w:w="20"/>
                  </w:tblGrid>
                  <w:tr>
                    <w:trPr>
                      <w:trHeight w:val="580" w:hRule="atLeast"/>
                    </w:trPr>
                    <w:tc>
                      <w:tcPr>
                        <w:tcMar>
                          <w:top w:w="0" w:type="dxa"/>
                          <w:left w:w="0" w:type="dxa"/>
                          <w:bottom w:w="0" w:type="dxa"/>
                          <w:right w:w="0" w:type="dxa"/>
                        </w:tcMar>
                        <w:vAlign w:val="center"/>
                      </w:tcPr>
                      <w:p>
                        <w:pPr>
                          <w:ind w:firstLine="0"/>
                          <w:jc w:val="center"/>
                        </w:pPr>
                        <w:r>
                          <w:rPr>
                            <w:rFonts w:ascii="宋体" w:hAnsi="宋体" w:eastAsia="宋体" w:cs="宋体"/>
                            <w:color w:val="000000"/>
                            <w:sz w:val="21"/>
                          </w:rPr>
                          <w:t>下属子份额的销售名称</w:t>
                        </w:r>
                      </w:p>
                    </w:tc>
                    <w:tc>
                      <w:p>
                        <w:pPr>
                          <w:pStyle w:val="4"/>
                        </w:pPr>
                      </w:p>
                    </w:tc>
                  </w:tr>
                </w:tbl>
                <w:p>
                  <w:pPr>
                    <w:pStyle w:val="4"/>
                  </w:pPr>
                </w:p>
              </w:tc>
              <w:tc>
                <w:tcPr>
                  <w:tcBorders>
                    <w:top w:val="single" w:color="000000" w:sz="2" w:space="0"/>
                    <w:left w:val="single" w:color="000000" w:sz="2" w:space="0"/>
                    <w:bottom w:val="single" w:color="000000" w:sz="2" w:space="0"/>
                    <w:right w:val="single" w:color="000000" w:sz="2"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ind w:firstLine="200"/>
                          <w:jc w:val="center"/>
                        </w:pPr>
                        <w:r>
                          <w:rPr>
                            <w:rFonts w:ascii="宋体" w:hAnsi="宋体" w:eastAsia="宋体" w:cs="宋体"/>
                            <w:color w:val="000000"/>
                            <w:sz w:val="21"/>
                          </w:rPr>
                          <w:t>下属子份额的销售代码</w:t>
                        </w:r>
                      </w:p>
                    </w:tc>
                  </w:tr>
                </w:tbl>
                <w:p>
                  <w:pPr>
                    <w:pStyle w:val="4"/>
                  </w:pPr>
                </w:p>
              </w:tc>
              <w:tc>
                <w:tcPr>
                  <w:tcBorders>
                    <w:top w:val="single" w:color="000000" w:sz="2" w:space="0"/>
                    <w:left w:val="single" w:color="000000" w:sz="2" w:space="0"/>
                    <w:bottom w:val="single" w:color="000000" w:sz="2"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4100"/>
                  </w:tblGrid>
                  <w:tr>
                    <w:tblPrEx>
                      <w:tblCellMar>
                        <w:top w:w="0" w:type="dxa"/>
                        <w:left w:w="10" w:type="dxa"/>
                        <w:bottom w:w="0" w:type="dxa"/>
                        <w:right w:w="10" w:type="dxa"/>
                      </w:tblCellMar>
                    </w:tblPrEx>
                    <w:trPr>
                      <w:trHeight w:val="580" w:hRule="atLeast"/>
                    </w:trPr>
                    <w:tc>
                      <w:tcPr>
                        <w:tcMar>
                          <w:top w:w="0" w:type="dxa"/>
                          <w:left w:w="0" w:type="dxa"/>
                          <w:bottom w:w="0" w:type="dxa"/>
                          <w:right w:w="20" w:type="dxa"/>
                        </w:tcMar>
                        <w:vAlign w:val="center"/>
                      </w:tcPr>
                      <w:p>
                        <w:pPr>
                          <w:ind w:firstLine="200"/>
                          <w:jc w:val="center"/>
                        </w:pPr>
                        <w:r>
                          <w:rPr>
                            <w:rFonts w:ascii="宋体" w:hAnsi="宋体" w:eastAsia="宋体" w:cs="宋体"/>
                            <w:color w:val="000000"/>
                            <w:sz w:val="21"/>
                          </w:rPr>
                          <w:t>报告期末下属子份额的产品份额总数</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2" w:space="0"/>
                    <w:left w:val="single" w:color="000000" w:sz="2" w:space="0"/>
                    <w:bottom w:val="single" w:color="000000" w:sz="2" w:space="0"/>
                    <w:right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560" w:hRule="atLeast"/>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稳利恒盈7号第28期 14M封闭（纯盈款）D</w:t>
                        </w:r>
                      </w:p>
                    </w:tc>
                  </w:tr>
                </w:tbl>
                <w:p>
                  <w:pPr>
                    <w:pStyle w:val="4"/>
                  </w:pPr>
                </w:p>
              </w:tc>
              <w:tc>
                <w:tcPr>
                  <w:tcBorders>
                    <w:top w:val="single" w:color="000000" w:sz="2" w:space="0"/>
                    <w:left w:val="single" w:color="000000" w:sz="2" w:space="0"/>
                    <w:bottom w:val="single" w:color="000000" w:sz="2" w:space="0"/>
                    <w:right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rPr>
                      <w:trHeight w:val="560" w:hRule="atLeast"/>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9N21328D</w:t>
                        </w:r>
                      </w:p>
                    </w:tc>
                  </w:tr>
                </w:tbl>
                <w:p>
                  <w:pPr>
                    <w:pStyle w:val="4"/>
                  </w:pPr>
                </w:p>
              </w:tc>
              <w:tc>
                <w:tcPr>
                  <w:tcBorders>
                    <w:top w:val="single" w:color="000000" w:sz="2" w:space="0"/>
                    <w:left w:val="single" w:color="000000" w:sz="2" w:space="0"/>
                    <w:bottom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4100"/>
                  </w:tblGrid>
                  <w:tr>
                    <w:trPr>
                      <w:trHeight w:val="560" w:hRule="atLeast"/>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1,124,469.00</w:t>
                        </w:r>
                      </w:p>
                    </w:tc>
                  </w:tr>
                </w:tbl>
                <w:p>
                  <w:pPr>
                    <w:pStyle w:val="4"/>
                  </w:pPr>
                </w:p>
              </w:tc>
            </w:tr>
          </w:tbl>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exact"/>
        </w:trPr>
        <w:tc>
          <w:p>
            <w:pPr>
              <w:pStyle w:val="4"/>
            </w:pPr>
          </w:p>
        </w:tc>
        <w:tc>
          <w:tcPr>
            <w:gridSpan w:val="2"/>
          </w:tcPr>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600" w:hRule="atLeast"/>
        </w:trPr>
        <w:tc>
          <w:p>
            <w:pPr>
              <w:pStyle w:val="4"/>
            </w:pPr>
          </w:p>
        </w:tc>
        <w:tc>
          <w:tcPr>
            <w:gridSpan w:val="15"/>
            <w:tcMar>
              <w:top w:w="0" w:type="dxa"/>
              <w:left w:w="0" w:type="dxa"/>
              <w:bottom w:w="0" w:type="dxa"/>
              <w:right w:w="0" w:type="dxa"/>
            </w:tcMar>
            <w:vAlign w:val="center"/>
          </w:tcPr>
          <w:p>
            <w:pPr>
              <w:jc w:val="center"/>
            </w:pPr>
            <w:r>
              <w:rPr>
                <w:rFonts w:ascii="宋体" w:hAnsi="宋体" w:eastAsia="宋体" w:cs="宋体"/>
                <w:b/>
                <w:color w:val="000000"/>
                <w:sz w:val="24"/>
              </w:rPr>
              <w:t>§ 三. 产品收益表现</w:t>
            </w:r>
          </w:p>
        </w:tc>
        <w:tc>
          <w:tcPr>
            <w:gridSpan w:val="4"/>
          </w:tcPr>
          <w:p>
            <w:pPr>
              <w:pStyle w:val="4"/>
            </w:pPr>
          </w:p>
        </w:tc>
        <w:tc>
          <w:p>
            <w:pPr>
              <w:pStyle w:val="4"/>
            </w:pPr>
          </w:p>
        </w:tc>
      </w:tr>
      <w:tr>
        <w:tblPrEx>
          <w:tblCellMar>
            <w:top w:w="0" w:type="dxa"/>
            <w:left w:w="10" w:type="dxa"/>
            <w:bottom w:w="0" w:type="dxa"/>
            <w:right w:w="10" w:type="dxa"/>
          </w:tblCellMar>
        </w:tblPrEx>
        <w:trPr>
          <w:trHeight w:val="400" w:hRule="exact"/>
        </w:trPr>
        <w:tc>
          <w:p>
            <w:pPr>
              <w:pStyle w:val="4"/>
            </w:pPr>
          </w:p>
        </w:tc>
        <w:tc>
          <w:tcPr>
            <w:gridSpan w:val="2"/>
          </w:tcPr>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1560" w:hRule="atLeast"/>
        </w:trPr>
        <w:tc>
          <w:p>
            <w:pPr>
              <w:pStyle w:val="4"/>
            </w:pPr>
          </w:p>
        </w:tc>
        <w:tc>
          <w:tcPr>
            <w:gridSpan w:val="2"/>
          </w:tcPr>
          <w:p>
            <w:pPr>
              <w:pStyle w:val="4"/>
            </w:pPr>
          </w:p>
        </w:tc>
        <w:tc>
          <w:tcPr>
            <w:gridSpan w:val="11"/>
            <w:tcMar>
              <w:top w:w="0" w:type="dxa"/>
              <w:left w:w="0" w:type="dxa"/>
              <w:bottom w:w="0" w:type="dxa"/>
              <w:right w:w="0" w:type="dxa"/>
            </w:tcMar>
            <w:vAlign w:val="center"/>
          </w:tcPr>
          <w:p>
            <w:pPr>
              <w:spacing w:before="0" w:after="0" w:line="320" w:lineRule="exact"/>
              <w:ind w:firstLine="0"/>
              <w:jc w:val="left"/>
            </w:pPr>
            <w:r>
              <w:rPr>
                <w:rFonts w:ascii="宋体" w:hAnsi="宋体" w:eastAsia="宋体" w:cs="宋体"/>
                <w:color w:val="000000"/>
                <w:sz w:val="21"/>
              </w:rPr>
              <w:t>产品9N21328A自成立日以来，累计净值增长率为0.9470%，年化累计净值增长率为3.7571%。</w:t>
            </w:r>
            <w:r>
              <w:rPr>
                <w:rFonts w:ascii="宋体" w:hAnsi="宋体" w:eastAsia="宋体" w:cs="宋体"/>
                <w:color w:val="000000"/>
                <w:sz w:val="21"/>
              </w:rPr>
              <w:br w:type="textWrapping"/>
            </w:r>
            <w:r>
              <w:rPr>
                <w:rFonts w:ascii="宋体" w:hAnsi="宋体" w:eastAsia="宋体" w:cs="宋体"/>
                <w:color w:val="000000"/>
                <w:sz w:val="21"/>
              </w:rPr>
              <w:t>产品9N21328B自成立日以来，累计净值增长率为0.9120%，年化累计净值增长率为3.6183%。</w:t>
            </w:r>
            <w:r>
              <w:rPr>
                <w:rFonts w:ascii="宋体" w:hAnsi="宋体" w:eastAsia="宋体" w:cs="宋体"/>
                <w:color w:val="000000"/>
                <w:sz w:val="21"/>
              </w:rPr>
              <w:br w:type="textWrapping"/>
            </w:r>
            <w:r>
              <w:rPr>
                <w:rFonts w:ascii="宋体" w:hAnsi="宋体" w:eastAsia="宋体" w:cs="宋体"/>
                <w:color w:val="000000"/>
                <w:sz w:val="21"/>
              </w:rPr>
              <w:t>产品9N21328C自成立日以来，累计净值增长率为0.8990%，年化累计净值增长率为3.5667%。</w:t>
            </w:r>
            <w:r>
              <w:rPr>
                <w:rFonts w:ascii="宋体" w:hAnsi="宋体" w:eastAsia="宋体" w:cs="宋体"/>
                <w:color w:val="000000"/>
                <w:sz w:val="21"/>
              </w:rPr>
              <w:br w:type="textWrapping"/>
            </w:r>
            <w:r>
              <w:rPr>
                <w:rFonts w:ascii="宋体" w:hAnsi="宋体" w:eastAsia="宋体" w:cs="宋体"/>
                <w:color w:val="000000"/>
                <w:sz w:val="21"/>
              </w:rPr>
              <w:t>产品9N21328D自成立日以来，累计净值增长率为0.9120%，年化累计净值增长率为3.6183%。</w:t>
            </w:r>
            <w:r>
              <w:rPr>
                <w:rFonts w:ascii="宋体" w:hAnsi="宋体" w:eastAsia="宋体" w:cs="宋体"/>
                <w:color w:val="000000"/>
                <w:sz w:val="21"/>
              </w:rPr>
              <w:br w:type="textWrapping"/>
            </w:r>
            <w:r>
              <w:rPr>
                <w:rFonts w:ascii="宋体" w:hAnsi="宋体" w:eastAsia="宋体" w:cs="宋体"/>
                <w:color w:val="000000"/>
                <w:sz w:val="21"/>
              </w:rPr>
              <w:t>报告期末，产品净值表现具体如下：</w:t>
            </w: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200" w:hRule="exact"/>
        </w:trPr>
        <w:tc>
          <w:p>
            <w:pPr>
              <w:pStyle w:val="4"/>
            </w:pPr>
          </w:p>
        </w:tc>
        <w:tc>
          <w:tcPr>
            <w:gridSpan w:val="2"/>
          </w:tcPr>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1200" w:hRule="exact"/>
        </w:trPr>
        <w:tc>
          <w:p>
            <w:pPr>
              <w:pStyle w:val="4"/>
            </w:pPr>
          </w:p>
        </w:tc>
        <w:tc>
          <w:tcPr>
            <w:gridSpan w:val="2"/>
          </w:tcPr>
          <w:p>
            <w:pPr>
              <w:pStyle w:val="4"/>
            </w:pPr>
          </w:p>
        </w:tc>
        <w:tc>
          <w:tcPr>
            <w:gridSpan w:val="17"/>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800"/>
              <w:gridCol w:w="2000"/>
              <w:gridCol w:w="2400"/>
              <w:gridCol w:w="2200"/>
              <w:gridCol w:w="2300"/>
            </w:tblGrid>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BFBFB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产品代码</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估值日期</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4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产品份额净值</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产品累计净值</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3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产品资产净值</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9N213280</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2023年3月31日</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4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1.00946</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1.00946</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3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882,911,105.48</w:t>
                        </w:r>
                      </w:p>
                    </w:tc>
                  </w:tr>
                </w:tbl>
                <w:p>
                  <w:pPr>
                    <w:pStyle w:val="4"/>
                  </w:pPr>
                </w:p>
              </w:tc>
            </w:tr>
          </w:tbl>
          <w:p>
            <w:pPr>
              <w:pStyle w:val="4"/>
            </w:pPr>
          </w:p>
        </w:tc>
        <w:tc>
          <w:p>
            <w:pPr>
              <w:pStyle w:val="4"/>
            </w:pPr>
          </w:p>
        </w:tc>
      </w:tr>
      <w:tr>
        <w:tblPrEx>
          <w:tblCellMar>
            <w:top w:w="0" w:type="dxa"/>
            <w:left w:w="10" w:type="dxa"/>
            <w:bottom w:w="0" w:type="dxa"/>
            <w:right w:w="10" w:type="dxa"/>
          </w:tblCellMar>
        </w:tblPrEx>
        <w:trPr>
          <w:trHeight w:val="3000" w:hRule="exact"/>
        </w:trPr>
        <w:tc>
          <w:p>
            <w:pPr>
              <w:pStyle w:val="4"/>
            </w:pPr>
          </w:p>
        </w:tc>
        <w:tc>
          <w:tcPr>
            <w:gridSpan w:val="2"/>
          </w:tcPr>
          <w:p>
            <w:pPr>
              <w:pStyle w:val="4"/>
            </w:pPr>
          </w:p>
        </w:tc>
        <w:tc>
          <w:tcPr>
            <w:gridSpan w:val="17"/>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800"/>
              <w:gridCol w:w="2000"/>
              <w:gridCol w:w="2400"/>
              <w:gridCol w:w="2200"/>
              <w:gridCol w:w="2300"/>
            </w:tblGrid>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BFBFB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销售代码</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估值日期</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4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产品份额净值</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产品累计净值</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3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产品资产净值</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9N21328A</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2023年3月31日</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4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1.00947</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1.00947</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3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850,350,680.54</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9N21328B</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2023年3月31日</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4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1.00912</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1.00912</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3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5,901,631.62</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9N21328C</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2023年3月31日</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4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1.00899</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1.00899</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3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25,524,070.39</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9N21328D</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2023年3月31日</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4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1.00912</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1.00912</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3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1,134,722.93</w:t>
                        </w:r>
                      </w:p>
                    </w:tc>
                  </w:tr>
                </w:tbl>
                <w:p>
                  <w:pPr>
                    <w:pStyle w:val="4"/>
                  </w:pPr>
                </w:p>
              </w:tc>
            </w:tr>
          </w:tbl>
          <w:p>
            <w:pPr>
              <w:pStyle w:val="4"/>
            </w:pPr>
          </w:p>
        </w:tc>
        <w:tc>
          <w:p>
            <w:pPr>
              <w:pStyle w:val="4"/>
            </w:pPr>
          </w:p>
        </w:tc>
      </w:tr>
      <w:tr>
        <w:tblPrEx>
          <w:tblCellMar>
            <w:top w:w="0" w:type="dxa"/>
            <w:left w:w="10" w:type="dxa"/>
            <w:bottom w:w="0" w:type="dxa"/>
            <w:right w:w="10" w:type="dxa"/>
          </w:tblCellMar>
        </w:tblPrEx>
        <w:trPr>
          <w:trHeight w:val="560" w:hRule="exact"/>
        </w:trPr>
        <w:tc>
          <w:p>
            <w:pPr>
              <w:pStyle w:val="4"/>
            </w:pPr>
          </w:p>
        </w:tc>
        <w:tc>
          <w:tcPr>
            <w:gridSpan w:val="2"/>
          </w:tcPr>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600" w:hRule="atLeast"/>
        </w:trPr>
        <w:tc>
          <w:p>
            <w:pPr>
              <w:pStyle w:val="4"/>
            </w:pPr>
          </w:p>
        </w:tc>
        <w:tc>
          <w:tcPr>
            <w:gridSpan w:val="15"/>
            <w:tcMar>
              <w:top w:w="0" w:type="dxa"/>
              <w:left w:w="0" w:type="dxa"/>
              <w:bottom w:w="0" w:type="dxa"/>
              <w:right w:w="0" w:type="dxa"/>
            </w:tcMar>
            <w:vAlign w:val="center"/>
          </w:tcPr>
          <w:p>
            <w:pPr>
              <w:jc w:val="center"/>
            </w:pPr>
            <w:r>
              <w:rPr>
                <w:rFonts w:ascii="宋体" w:hAnsi="宋体" w:eastAsia="宋体" w:cs="宋体"/>
                <w:b/>
                <w:color w:val="000000"/>
                <w:sz w:val="24"/>
              </w:rPr>
              <w:t>§ 四. 产品投资经理简介</w:t>
            </w:r>
          </w:p>
        </w:tc>
        <w:tc>
          <w:tcPr>
            <w:gridSpan w:val="4"/>
          </w:tcPr>
          <w:p>
            <w:pPr>
              <w:pStyle w:val="4"/>
            </w:pPr>
          </w:p>
        </w:tc>
        <w:tc>
          <w:p>
            <w:pPr>
              <w:pStyle w:val="4"/>
            </w:pPr>
          </w:p>
        </w:tc>
      </w:tr>
      <w:tr>
        <w:tblPrEx>
          <w:tblCellMar>
            <w:top w:w="0" w:type="dxa"/>
            <w:left w:w="10" w:type="dxa"/>
            <w:bottom w:w="0" w:type="dxa"/>
            <w:right w:w="10" w:type="dxa"/>
          </w:tblCellMar>
        </w:tblPrEx>
        <w:trPr>
          <w:trHeight w:val="420" w:hRule="exact"/>
        </w:trPr>
        <w:tc>
          <w:p>
            <w:pPr>
              <w:pStyle w:val="4"/>
            </w:pPr>
          </w:p>
        </w:tc>
        <w:tc>
          <w:tcPr>
            <w:gridSpan w:val="2"/>
          </w:tcPr>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900" w:hRule="atLeast"/>
        </w:trPr>
        <w:tc>
          <w:p>
            <w:pPr>
              <w:pStyle w:val="4"/>
            </w:pPr>
          </w:p>
        </w:tc>
        <w:tc>
          <w:tcPr>
            <w:gridSpan w:val="15"/>
            <w:tcMar>
              <w:top w:w="0" w:type="dxa"/>
              <w:left w:w="0" w:type="dxa"/>
              <w:bottom w:w="0" w:type="dxa"/>
              <w:right w:w="0" w:type="dxa"/>
            </w:tcMar>
            <w:vAlign w:val="top"/>
          </w:tcPr>
          <w:p>
            <w:pPr>
              <w:spacing w:before="0" w:after="0" w:line="320" w:lineRule="exact"/>
              <w:ind w:firstLine="0"/>
              <w:jc w:val="left"/>
            </w:pPr>
            <w:r>
              <w:rPr>
                <w:rFonts w:ascii="宋体" w:hAnsi="宋体" w:eastAsia="宋体" w:cs="宋体"/>
                <w:color w:val="000000"/>
                <w:sz w:val="21"/>
              </w:rPr>
              <w:t xml:space="preserve">    叶懿磊先生，复旦大学金融数学硕士，3年债券投资交易经验。2018年加入兴业银行资产管理部，现任兴银理财固定收益部投资经理，主要负责债券投资和固收组合管理工作。专注固定收益投资，投资风格稳健，擅长宏观分析，结合市场具体情况灵活运用组合策略。</w:t>
            </w:r>
          </w:p>
        </w:tc>
        <w:tc>
          <w:tcPr>
            <w:gridSpan w:val="4"/>
          </w:tcPr>
          <w:p>
            <w:pPr>
              <w:pStyle w:val="4"/>
            </w:pPr>
          </w:p>
        </w:tc>
        <w:tc>
          <w:p>
            <w:pPr>
              <w:pStyle w:val="4"/>
            </w:pPr>
          </w:p>
        </w:tc>
      </w:tr>
      <w:tr>
        <w:tblPrEx>
          <w:tblCellMar>
            <w:top w:w="0" w:type="dxa"/>
            <w:left w:w="10" w:type="dxa"/>
            <w:bottom w:w="0" w:type="dxa"/>
            <w:right w:w="10" w:type="dxa"/>
          </w:tblCellMar>
        </w:tblPrEx>
        <w:trPr>
          <w:trHeight w:val="720" w:hRule="exact"/>
        </w:trPr>
        <w:tc>
          <w:p>
            <w:pPr>
              <w:pStyle w:val="4"/>
            </w:pPr>
          </w:p>
        </w:tc>
        <w:tc>
          <w:tcPr>
            <w:gridSpan w:val="2"/>
          </w:tcPr>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600" w:hRule="atLeast"/>
        </w:trPr>
        <w:tc>
          <w:p>
            <w:pPr>
              <w:pStyle w:val="4"/>
            </w:pPr>
          </w:p>
        </w:tc>
        <w:tc>
          <w:tcPr>
            <w:gridSpan w:val="15"/>
            <w:tcMar>
              <w:top w:w="0" w:type="dxa"/>
              <w:left w:w="0" w:type="dxa"/>
              <w:bottom w:w="0" w:type="dxa"/>
              <w:right w:w="0" w:type="dxa"/>
            </w:tcMar>
            <w:vAlign w:val="center"/>
          </w:tcPr>
          <w:p>
            <w:pPr>
              <w:jc w:val="center"/>
            </w:pPr>
            <w:r>
              <w:rPr>
                <w:rFonts w:ascii="宋体" w:hAnsi="宋体" w:eastAsia="宋体" w:cs="宋体"/>
                <w:b/>
                <w:color w:val="000000"/>
                <w:sz w:val="24"/>
              </w:rPr>
              <w:t>§ 五. 报告期内产品的投资策略和运作分析</w:t>
            </w:r>
          </w:p>
        </w:tc>
        <w:tc>
          <w:tcPr>
            <w:gridSpan w:val="4"/>
          </w:tcPr>
          <w:p>
            <w:pPr>
              <w:pStyle w:val="4"/>
            </w:pPr>
          </w:p>
        </w:tc>
        <w:tc>
          <w:p>
            <w:pPr>
              <w:pStyle w:val="4"/>
            </w:pPr>
          </w:p>
        </w:tc>
      </w:tr>
      <w:tr>
        <w:tblPrEx>
          <w:tblCellMar>
            <w:top w:w="0" w:type="dxa"/>
            <w:left w:w="10" w:type="dxa"/>
            <w:bottom w:w="0" w:type="dxa"/>
            <w:right w:w="10" w:type="dxa"/>
          </w:tblCellMar>
        </w:tblPrEx>
        <w:trPr>
          <w:trHeight w:val="420" w:hRule="exact"/>
        </w:trPr>
        <w:tc>
          <w:p>
            <w:pPr>
              <w:pStyle w:val="4"/>
            </w:pPr>
          </w:p>
        </w:tc>
        <w:tc>
          <w:tcPr>
            <w:gridSpan w:val="2"/>
          </w:tcPr>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2020" w:hRule="atLeast"/>
        </w:trPr>
        <w:tc>
          <w:p>
            <w:pPr>
              <w:pStyle w:val="4"/>
            </w:pPr>
          </w:p>
        </w:tc>
        <w:tc>
          <w:tcPr>
            <w:gridSpan w:val="15"/>
            <w:tcMar>
              <w:top w:w="0" w:type="dxa"/>
              <w:left w:w="0" w:type="dxa"/>
              <w:bottom w:w="0" w:type="dxa"/>
              <w:right w:w="0" w:type="dxa"/>
            </w:tcMar>
            <w:vAlign w:val="top"/>
          </w:tcPr>
          <w:p>
            <w:pPr>
              <w:spacing w:before="0" w:after="0" w:line="320" w:lineRule="exact"/>
              <w:ind w:firstLine="0"/>
              <w:jc w:val="left"/>
            </w:pPr>
            <w:r>
              <w:rPr>
                <w:rFonts w:ascii="宋体" w:hAnsi="宋体" w:eastAsia="宋体" w:cs="宋体"/>
                <w:color w:val="000000"/>
                <w:sz w:val="21"/>
              </w:rPr>
              <w:t>一、2023年一季度投资策略与运作回顾</w:t>
            </w:r>
            <w:r>
              <w:rPr>
                <w:rFonts w:ascii="宋体" w:hAnsi="宋体" w:eastAsia="宋体" w:cs="宋体"/>
                <w:color w:val="000000"/>
                <w:sz w:val="21"/>
              </w:rPr>
              <w:br w:type="textWrapping"/>
            </w:r>
            <w:r>
              <w:rPr>
                <w:rFonts w:ascii="宋体" w:hAnsi="宋体" w:eastAsia="宋体" w:cs="宋体"/>
                <w:color w:val="000000"/>
                <w:sz w:val="21"/>
              </w:rPr>
              <w:t xml:space="preserve">    2023年一季度债券市场整体先抑后扬。1月春节前感染人数快速下降，春节期间消费、出行快速复苏，市场对于经济修复的信心较为强劲，10年期国债一度向上接近3.1%；春节期后，1月数据反应了经济修复速度或不及预期，高频经济数据有所分化，市场的预期不断修正，10年期国债随着高频数据的公布在2.9%附近窄幅波动；2月下旬，由于信贷偏强叠加央行主动调节等因素共同作用，资金面明显偏紧，推动了利空情绪的上涨；3月初两会顺利召开，经济增长基调确定整体上符合或略低于预期，强刺激政策的担忧缓解，10年期国债利率下行。收益率方面，1</w:t>
            </w: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2"/>
          </w:tcPr>
          <w:p>
            <w:pPr>
              <w:pStyle w:val="4"/>
            </w:pPr>
          </w:p>
        </w:tc>
        <w:tc>
          <w:tcPr>
            <w:gridSpan w:val="4"/>
          </w:tcPr>
          <w:p>
            <w:pPr>
              <w:pStyle w:val="4"/>
            </w:pPr>
          </w:p>
        </w:tc>
        <w:tc>
          <w:tcPr>
            <w:gridSpan w:val="3"/>
            <w:tcMar>
              <w:top w:w="0" w:type="dxa"/>
              <w:left w:w="0" w:type="dxa"/>
              <w:bottom w:w="0" w:type="dxa"/>
              <w:right w:w="0" w:type="dxa"/>
            </w:tcMar>
            <w:vAlign w:val="top"/>
          </w:tcPr>
          <w:p>
            <w:pPr>
              <w:jc w:val="right"/>
            </w:pPr>
            <w:r>
              <w:rPr>
                <w:rFonts w:ascii="SansSerif" w:hAnsi="SansSerif" w:eastAsia="SansSerif" w:cs="SansSerif"/>
                <w:color w:val="000000"/>
                <w:sz w:val="18"/>
              </w:rPr>
              <w:t>4/</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7</w:t>
            </w: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2"/>
          <w:trHeight w:val="0" w:hRule="atLeast"/>
        </w:trPr>
        <w:tc>
          <w:p>
            <w:pPr>
              <w:pStyle w:val="4"/>
              <w:pageBreakBefore/>
            </w:pPr>
            <w:bookmarkStart w:id="4" w:name="JR_PAGE_ANCHOR_0_5"/>
            <w:bookmarkEnd w:id="4"/>
          </w:p>
        </w:tc>
        <w:tc>
          <w:p>
            <w:pPr>
              <w:pStyle w:val="4"/>
            </w:pPr>
          </w:p>
        </w:tc>
        <w:tc>
          <w:tcPr>
            <w:gridSpan w:val="5"/>
          </w:tcPr>
          <w:p>
            <w:pPr>
              <w:pStyle w:val="4"/>
            </w:pPr>
          </w:p>
        </w:tc>
        <w:tc>
          <w:tcPr>
            <w:gridSpan w:val="3"/>
          </w:tcPr>
          <w:p>
            <w:pPr>
              <w:pStyle w:val="4"/>
            </w:pPr>
          </w:p>
        </w:tc>
        <w:tc>
          <w:tcPr>
            <w:gridSpan w:val="2"/>
          </w:tcPr>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400" w:hRule="atLeast"/>
        </w:trPr>
        <w:tc>
          <w:p>
            <w:pPr>
              <w:pStyle w:val="4"/>
            </w:pPr>
          </w:p>
        </w:tc>
        <w:tc>
          <w:tcPr>
            <w:gridSpan w:val="15"/>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兴银理财天天万利宝稳利恒盈7号封闭式净值型理财产品第28期2023年第一季度报告</w:t>
            </w: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20" w:hRule="exact"/>
        </w:trPr>
        <w:tc>
          <w:p>
            <w:pPr>
              <w:pStyle w:val="4"/>
            </w:pPr>
          </w:p>
        </w:tc>
        <w:tc>
          <w:p>
            <w:pPr>
              <w:pStyle w:val="4"/>
            </w:pPr>
          </w:p>
        </w:tc>
        <w:tc>
          <w:tcPr>
            <w:gridSpan w:val="5"/>
          </w:tcPr>
          <w:p>
            <w:pPr>
              <w:pStyle w:val="4"/>
            </w:pPr>
          </w:p>
        </w:tc>
        <w:tc>
          <w:tcPr>
            <w:gridSpan w:val="3"/>
          </w:tcPr>
          <w:p>
            <w:pPr>
              <w:pStyle w:val="4"/>
            </w:pPr>
          </w:p>
        </w:tc>
        <w:tc>
          <w:tcPr>
            <w:gridSpan w:val="2"/>
          </w:tcPr>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20" w:hRule="exact"/>
        </w:trPr>
        <w:tc>
          <w:p>
            <w:pPr>
              <w:pStyle w:val="4"/>
            </w:pPr>
          </w:p>
        </w:tc>
        <w:tc>
          <w:tcPr>
            <w:gridSpan w:val="15"/>
            <w:tcBorders>
              <w:top w:val="single" w:color="000000" w:sz="8" w:space="0"/>
            </w:tcBorders>
            <w:shd w:val="clear" w:color="auto" w:fill="FFFFFF"/>
            <w:tcMar>
              <w:top w:w="0" w:type="dxa"/>
              <w:left w:w="0" w:type="dxa"/>
              <w:bottom w:w="0" w:type="dxa"/>
              <w:right w:w="0" w:type="dxa"/>
            </w:tcMar>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4240" w:hRule="atLeast"/>
        </w:trPr>
        <w:tc>
          <w:p>
            <w:pPr>
              <w:pStyle w:val="4"/>
            </w:pPr>
          </w:p>
        </w:tc>
        <w:tc>
          <w:tcPr>
            <w:gridSpan w:val="15"/>
            <w:tcMar>
              <w:top w:w="0" w:type="dxa"/>
              <w:left w:w="0" w:type="dxa"/>
              <w:bottom w:w="0" w:type="dxa"/>
              <w:right w:w="0" w:type="dxa"/>
            </w:tcMar>
            <w:vAlign w:val="top"/>
          </w:tcPr>
          <w:p>
            <w:pPr>
              <w:spacing w:before="0" w:after="0" w:line="320" w:lineRule="exact"/>
              <w:ind w:firstLine="0"/>
              <w:jc w:val="left"/>
            </w:pPr>
            <w:r>
              <w:rPr>
                <w:rFonts w:ascii="宋体" w:hAnsi="宋体" w:eastAsia="宋体" w:cs="宋体"/>
                <w:color w:val="000000"/>
                <w:sz w:val="21"/>
              </w:rPr>
              <w:t>年期国债、10年期国债、10年期国开债、3年AAA、3年AA+、3年AA和3年AA-分别变动14BP、2BP、1BP、-9BP、-34BP、-34BP和-32BP。信用利差方面，3年AAA、3年AA+、3年AA和3年AA-分别变动-19BP、-44BP、-44BP和-42BP。</w:t>
            </w:r>
            <w:r>
              <w:rPr>
                <w:rFonts w:ascii="宋体" w:hAnsi="宋体" w:eastAsia="宋体" w:cs="宋体"/>
                <w:color w:val="000000"/>
                <w:sz w:val="21"/>
              </w:rPr>
              <w:br w:type="textWrapping"/>
            </w:r>
            <w:r>
              <w:rPr>
                <w:rFonts w:ascii="宋体" w:hAnsi="宋体" w:eastAsia="宋体" w:cs="宋体"/>
                <w:color w:val="000000"/>
                <w:sz w:val="21"/>
              </w:rPr>
              <w:t xml:space="preserve">    </w:t>
            </w:r>
            <w:bookmarkStart w:id="7" w:name="_GoBack"/>
            <w:bookmarkEnd w:id="7"/>
            <w:r>
              <w:rPr>
                <w:rFonts w:ascii="宋体" w:hAnsi="宋体" w:eastAsia="宋体" w:cs="宋体"/>
                <w:color w:val="000000"/>
                <w:sz w:val="21"/>
              </w:rPr>
              <w:t>产品运作方面，考虑到疫情、地产政策的边际变化和强预期弱现实的状态，一季度整体采取了防守中略进攻的投资策略，在应对了年底的流动性风险后开始了积极的加仓。在具体操作方面，主要从增配低波资产、逐步增持债券资产等角度进行积极调仓，为组合平衡收益与流动性。</w:t>
            </w:r>
            <w:r>
              <w:rPr>
                <w:rFonts w:ascii="宋体" w:hAnsi="宋体" w:eastAsia="宋体" w:cs="宋体"/>
                <w:color w:val="000000"/>
                <w:sz w:val="21"/>
              </w:rPr>
              <w:br w:type="textWrapping"/>
            </w:r>
            <w:r>
              <w:rPr>
                <w:rFonts w:ascii="宋体" w:hAnsi="宋体" w:eastAsia="宋体" w:cs="宋体"/>
                <w:color w:val="000000"/>
                <w:sz w:val="21"/>
              </w:rPr>
              <w:br w:type="textWrapping"/>
            </w:r>
            <w:r>
              <w:rPr>
                <w:rFonts w:ascii="宋体" w:hAnsi="宋体" w:eastAsia="宋体" w:cs="宋体"/>
                <w:color w:val="000000"/>
                <w:sz w:val="21"/>
              </w:rPr>
              <w:t>二、2023年4月投资策略展望</w:t>
            </w:r>
            <w:r>
              <w:rPr>
                <w:rFonts w:ascii="宋体" w:hAnsi="宋体" w:eastAsia="宋体" w:cs="宋体"/>
                <w:color w:val="000000"/>
                <w:sz w:val="21"/>
              </w:rPr>
              <w:br w:type="textWrapping"/>
            </w:r>
            <w:r>
              <w:rPr>
                <w:rFonts w:ascii="宋体" w:hAnsi="宋体" w:eastAsia="宋体" w:cs="宋体"/>
                <w:color w:val="000000"/>
                <w:sz w:val="21"/>
              </w:rPr>
              <w:t xml:space="preserve">    4月从资金面角度来看，资金利率修复至政策利率附近，市场对未来的预期相对平稳，但是资金市场的分层现象有所加剧，基本面角度来看，修复斜率趋缓，但是地产等销售向好对基本面有一定的支撑，机构行为的角度来看，理财等的配置力量维持强势，海外事件的发酵压制风险偏好，预计债市整体震荡，尚无趋势性机会，配置仍以套息策略为主，杠杆策略仍是收益的重要来源。下阶段总体策略：防守策略为主，看好高等级信用债票息和杠杆策略，以及金融机构债的投资机会，在波动中提高组合静态收益，兼顾产品流动性。</w:t>
            </w:r>
            <w:r>
              <w:rPr>
                <w:rFonts w:ascii="宋体" w:hAnsi="宋体" w:eastAsia="宋体" w:cs="宋体"/>
                <w:color w:val="000000"/>
                <w:sz w:val="21"/>
              </w:rPr>
              <w:br w:type="textWrapping"/>
            </w: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580" w:hRule="exact"/>
        </w:trPr>
        <w:tc>
          <w:p>
            <w:pPr>
              <w:pStyle w:val="4"/>
            </w:pPr>
          </w:p>
        </w:tc>
        <w:tc>
          <w:p>
            <w:pPr>
              <w:pStyle w:val="4"/>
            </w:pPr>
          </w:p>
        </w:tc>
        <w:tc>
          <w:tcPr>
            <w:gridSpan w:val="5"/>
          </w:tcPr>
          <w:p>
            <w:pPr>
              <w:pStyle w:val="4"/>
            </w:pPr>
          </w:p>
        </w:tc>
        <w:tc>
          <w:tcPr>
            <w:gridSpan w:val="3"/>
          </w:tcPr>
          <w:p>
            <w:pPr>
              <w:pStyle w:val="4"/>
            </w:pPr>
          </w:p>
        </w:tc>
        <w:tc>
          <w:tcPr>
            <w:gridSpan w:val="2"/>
          </w:tcPr>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600" w:hRule="atLeast"/>
        </w:trPr>
        <w:tc>
          <w:p>
            <w:pPr>
              <w:pStyle w:val="4"/>
            </w:pPr>
          </w:p>
        </w:tc>
        <w:tc>
          <w:tcPr>
            <w:gridSpan w:val="15"/>
            <w:tcMar>
              <w:top w:w="0" w:type="dxa"/>
              <w:left w:w="0" w:type="dxa"/>
              <w:bottom w:w="0" w:type="dxa"/>
              <w:right w:w="0" w:type="dxa"/>
            </w:tcMar>
            <w:vAlign w:val="center"/>
          </w:tcPr>
          <w:p>
            <w:pPr>
              <w:jc w:val="center"/>
            </w:pPr>
            <w:r>
              <w:rPr>
                <w:rFonts w:ascii="宋体" w:hAnsi="宋体" w:eastAsia="宋体" w:cs="宋体"/>
                <w:b/>
                <w:color w:val="000000"/>
                <w:sz w:val="24"/>
              </w:rPr>
              <w:t>§ 六. 投资组合情况</w:t>
            </w: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200" w:hRule="exact"/>
        </w:trPr>
        <w:tc>
          <w:p>
            <w:pPr>
              <w:pStyle w:val="4"/>
            </w:pPr>
          </w:p>
        </w:tc>
        <w:tc>
          <w:p>
            <w:pPr>
              <w:pStyle w:val="4"/>
            </w:pPr>
          </w:p>
        </w:tc>
        <w:tc>
          <w:tcPr>
            <w:gridSpan w:val="5"/>
          </w:tcPr>
          <w:p>
            <w:pPr>
              <w:pStyle w:val="4"/>
            </w:pPr>
          </w:p>
        </w:tc>
        <w:tc>
          <w:tcPr>
            <w:gridSpan w:val="3"/>
          </w:tcPr>
          <w:p>
            <w:pPr>
              <w:pStyle w:val="4"/>
            </w:pPr>
          </w:p>
        </w:tc>
        <w:tc>
          <w:tcPr>
            <w:gridSpan w:val="2"/>
          </w:tcPr>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400" w:hRule="atLeast"/>
        </w:trPr>
        <w:tc>
          <w:p>
            <w:pPr>
              <w:pStyle w:val="4"/>
            </w:pPr>
          </w:p>
        </w:tc>
        <w:tc>
          <w:p>
            <w:pPr>
              <w:pStyle w:val="4"/>
            </w:pPr>
          </w:p>
        </w:tc>
        <w:tc>
          <w:tcPr>
            <w:gridSpan w:val="16"/>
            <w:tcMar>
              <w:top w:w="0" w:type="dxa"/>
              <w:left w:w="0" w:type="dxa"/>
              <w:bottom w:w="0" w:type="dxa"/>
              <w:right w:w="0" w:type="dxa"/>
            </w:tcMar>
            <w:vAlign w:val="center"/>
          </w:tcPr>
          <w:p>
            <w:pPr>
              <w:jc w:val="left"/>
            </w:pPr>
            <w:r>
              <w:rPr>
                <w:rFonts w:ascii="宋体" w:hAnsi="宋体" w:eastAsia="宋体" w:cs="宋体"/>
                <w:b/>
                <w:color w:val="000000"/>
                <w:sz w:val="21"/>
              </w:rPr>
              <w:t>1.报告期末产品资产组合情况</w:t>
            </w:r>
          </w:p>
        </w:tc>
        <w:tc>
          <w:p>
            <w:pPr>
              <w:pStyle w:val="4"/>
            </w:pPr>
          </w:p>
        </w:tc>
      </w:tr>
      <w:tr>
        <w:tblPrEx>
          <w:tblCellMar>
            <w:top w:w="0" w:type="dxa"/>
            <w:left w:w="10" w:type="dxa"/>
            <w:bottom w:w="0" w:type="dxa"/>
            <w:right w:w="10" w:type="dxa"/>
          </w:tblCellMar>
        </w:tblPrEx>
        <w:trPr>
          <w:gridAfter w:val="2"/>
          <w:trHeight w:val="40" w:hRule="exact"/>
        </w:trPr>
        <w:tc>
          <w:p>
            <w:pPr>
              <w:pStyle w:val="4"/>
            </w:pPr>
          </w:p>
        </w:tc>
        <w:tc>
          <w:p>
            <w:pPr>
              <w:pStyle w:val="4"/>
            </w:pPr>
          </w:p>
        </w:tc>
        <w:tc>
          <w:tcPr>
            <w:gridSpan w:val="5"/>
          </w:tcPr>
          <w:p>
            <w:pPr>
              <w:pStyle w:val="4"/>
            </w:pPr>
          </w:p>
        </w:tc>
        <w:tc>
          <w:tcPr>
            <w:gridSpan w:val="3"/>
          </w:tcPr>
          <w:p>
            <w:pPr>
              <w:pStyle w:val="4"/>
            </w:pPr>
          </w:p>
        </w:tc>
        <w:tc>
          <w:tcPr>
            <w:gridSpan w:val="2"/>
          </w:tcPr>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2400" w:hRule="exact"/>
        </w:trPr>
        <w:tc>
          <w:p>
            <w:pPr>
              <w:pStyle w:val="4"/>
            </w:pPr>
          </w:p>
        </w:tc>
        <w:tc>
          <w:p>
            <w:pPr>
              <w:pStyle w:val="4"/>
            </w:pPr>
          </w:p>
        </w:tc>
        <w:tc>
          <w:tcPr>
            <w:gridSpan w:val="16"/>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gridCol w:w="2600"/>
              <w:gridCol w:w="3600"/>
              <w:gridCol w:w="3500"/>
            </w:tblGrid>
            <w:tr>
              <w:tblPrEx>
                <w:tblCellMar>
                  <w:top w:w="0" w:type="dxa"/>
                  <w:left w:w="10" w:type="dxa"/>
                  <w:bottom w:w="0" w:type="dxa"/>
                  <w:right w:w="10" w:type="dxa"/>
                </w:tblCellMar>
              </w:tblPrEx>
              <w:trPr>
                <w:trHeight w:val="60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序号</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资产类型</w:t>
                        </w:r>
                      </w:p>
                    </w:tc>
                  </w:tr>
                </w:tbl>
                <w:p>
                  <w:pPr>
                    <w:pStyle w:val="4"/>
                  </w:pPr>
                </w:p>
              </w:tc>
              <w:tc>
                <w:tcPr>
                  <w:tcBorders>
                    <w:top w:val="single" w:color="000000" w:sz="8" w:space="0"/>
                    <w:left w:val="single" w:color="000000" w:sz="8" w:space="0"/>
                    <w:bottom w:val="single" w:color="000000" w:sz="8" w:space="0"/>
                    <w:right w:val="single" w:color="000000" w:sz="8"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直接投资占产品总资产的比例（%）</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0F8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间接投资占产品总资产的比例（%）</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现金及银行存款</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4.69</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债券</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95.31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总计</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w:t>
                        </w:r>
                      </w:p>
                    </w:tc>
                  </w:tr>
                </w:tbl>
                <w:p>
                  <w:pPr>
                    <w:pStyle w:val="4"/>
                  </w:pPr>
                </w:p>
              </w:tc>
            </w:tr>
          </w:tbl>
          <w:p>
            <w:pPr>
              <w:pStyle w:val="4"/>
            </w:pPr>
          </w:p>
        </w:tc>
        <w:tc>
          <w:p>
            <w:pPr>
              <w:pStyle w:val="4"/>
            </w:pPr>
          </w:p>
        </w:tc>
      </w:tr>
      <w:tr>
        <w:tblPrEx>
          <w:tblCellMar>
            <w:top w:w="0" w:type="dxa"/>
            <w:left w:w="10" w:type="dxa"/>
            <w:bottom w:w="0" w:type="dxa"/>
            <w:right w:w="10" w:type="dxa"/>
          </w:tblCellMar>
        </w:tblPrEx>
        <w:trPr>
          <w:gridAfter w:val="2"/>
          <w:trHeight w:val="20" w:hRule="exact"/>
        </w:trPr>
        <w:tc>
          <w:p>
            <w:pPr>
              <w:pStyle w:val="4"/>
            </w:pPr>
          </w:p>
        </w:tc>
        <w:tc>
          <w:p>
            <w:pPr>
              <w:pStyle w:val="4"/>
            </w:pPr>
          </w:p>
        </w:tc>
        <w:tc>
          <w:tcPr>
            <w:gridSpan w:val="5"/>
          </w:tcPr>
          <w:p>
            <w:pPr>
              <w:pStyle w:val="4"/>
            </w:pPr>
          </w:p>
        </w:tc>
        <w:tc>
          <w:tcPr>
            <w:gridSpan w:val="3"/>
          </w:tcPr>
          <w:p>
            <w:pPr>
              <w:pStyle w:val="4"/>
            </w:pPr>
          </w:p>
        </w:tc>
        <w:tc>
          <w:tcPr>
            <w:gridSpan w:val="2"/>
          </w:tcPr>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600" w:hRule="atLeast"/>
        </w:trPr>
        <w:tc>
          <w:p>
            <w:pPr>
              <w:pStyle w:val="4"/>
            </w:pPr>
          </w:p>
        </w:tc>
        <w:tc>
          <w:tcPr>
            <w:gridSpan w:val="15"/>
            <w:tcMar>
              <w:top w:w="0" w:type="dxa"/>
              <w:left w:w="0" w:type="dxa"/>
              <w:bottom w:w="0" w:type="dxa"/>
              <w:right w:w="0" w:type="dxa"/>
            </w:tcMar>
            <w:vAlign w:val="center"/>
          </w:tcPr>
          <w:p>
            <w:pPr>
              <w:jc w:val="left"/>
            </w:pPr>
            <w:r>
              <w:rPr>
                <w:rFonts w:ascii="宋体" w:hAnsi="宋体" w:eastAsia="宋体" w:cs="宋体"/>
                <w:b/>
                <w:color w:val="000000"/>
                <w:sz w:val="21"/>
              </w:rPr>
              <w:t>2.报告期末杠杆融资情况</w:t>
            </w: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1000" w:hRule="atLeast"/>
        </w:trPr>
        <w:tc>
          <w:p>
            <w:pPr>
              <w:pStyle w:val="4"/>
            </w:pPr>
          </w:p>
        </w:tc>
        <w:tc>
          <w:tcPr>
            <w:gridSpan w:val="15"/>
            <w:tcMar>
              <w:top w:w="0" w:type="dxa"/>
              <w:left w:w="0" w:type="dxa"/>
              <w:bottom w:w="0" w:type="dxa"/>
              <w:right w:w="0" w:type="dxa"/>
            </w:tcMar>
            <w:vAlign w:val="top"/>
          </w:tcPr>
          <w:p>
            <w:pPr>
              <w:spacing w:before="0" w:after="0" w:line="320" w:lineRule="exact"/>
              <w:ind w:firstLine="0"/>
              <w:jc w:val="left"/>
            </w:pPr>
            <w:r>
              <w:rPr>
                <w:rFonts w:ascii="宋体" w:hAnsi="宋体" w:eastAsia="宋体" w:cs="宋体"/>
                <w:color w:val="000000"/>
                <w:sz w:val="21"/>
              </w:rPr>
              <w:t xml:space="preserve">    报告期末本产品总资产未超过该产品净资产规模的200%，符合产品协议对本产品杠杆比例的要求。</w:t>
            </w: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600" w:hRule="atLeast"/>
        </w:trPr>
        <w:tc>
          <w:p>
            <w:pPr>
              <w:pStyle w:val="4"/>
            </w:pPr>
          </w:p>
        </w:tc>
        <w:tc>
          <w:tcPr>
            <w:gridSpan w:val="15"/>
            <w:tcMar>
              <w:top w:w="0" w:type="dxa"/>
              <w:left w:w="0" w:type="dxa"/>
              <w:bottom w:w="0" w:type="dxa"/>
              <w:right w:w="0" w:type="dxa"/>
            </w:tcMar>
            <w:vAlign w:val="center"/>
          </w:tcPr>
          <w:p>
            <w:pPr>
              <w:jc w:val="left"/>
            </w:pPr>
            <w:r>
              <w:rPr>
                <w:rFonts w:ascii="宋体" w:hAnsi="宋体" w:eastAsia="宋体" w:cs="宋体"/>
                <w:b/>
                <w:color w:val="000000"/>
                <w:sz w:val="21"/>
              </w:rPr>
              <w:t>3.投资组合的流动性风险分析</w:t>
            </w: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2580" w:hRule="atLeast"/>
        </w:trPr>
        <w:tc>
          <w:p>
            <w:pPr>
              <w:pStyle w:val="4"/>
            </w:pPr>
          </w:p>
        </w:tc>
        <w:tc>
          <w:tcPr>
            <w:gridSpan w:val="15"/>
            <w:tcMar>
              <w:top w:w="0" w:type="dxa"/>
              <w:left w:w="0" w:type="dxa"/>
              <w:bottom w:w="0" w:type="dxa"/>
              <w:right w:w="0" w:type="dxa"/>
            </w:tcMar>
            <w:vAlign w:val="top"/>
          </w:tcPr>
          <w:p>
            <w:pPr>
              <w:spacing w:before="0" w:after="0" w:line="320" w:lineRule="exact"/>
              <w:ind w:firstLine="0"/>
              <w:jc w:val="left"/>
            </w:pPr>
            <w:r>
              <w:rPr>
                <w:rFonts w:ascii="宋体" w:hAnsi="宋体" w:eastAsia="宋体" w:cs="宋体"/>
                <w:color w:val="000000"/>
                <w:sz w:val="21"/>
              </w:rPr>
              <w:t xml:space="preserve">    流动性风险是指产品在履行与金融负债有关的义务时遇到资金短缺的风险。本产品的流动性风险主要来自于若投资品种所处的交易市场不活跃，可能带来资产变现困难或产品持仓资产在市场出现剧烈波动的情况下难以以合理价格变现的风险。</w:t>
            </w:r>
            <w:r>
              <w:rPr>
                <w:rFonts w:ascii="宋体" w:hAnsi="宋体" w:eastAsia="宋体" w:cs="宋体"/>
                <w:color w:val="000000"/>
                <w:sz w:val="21"/>
              </w:rPr>
              <w:br w:type="textWrapping"/>
            </w:r>
            <w:r>
              <w:rPr>
                <w:rFonts w:ascii="宋体" w:hAnsi="宋体" w:eastAsia="宋体" w:cs="宋体"/>
                <w:color w:val="000000"/>
                <w:sz w:val="21"/>
              </w:rPr>
              <w:t xml:space="preserve">    为防范无法支付到期赎回款而产生的流动性风险，本理财产品管理人将合理安排所投资产期限，产品到期前完成所投资组合中相关资产变现，尽可能降低产品流动性风险，有效保障理财持有人利益。</w:t>
            </w:r>
            <w:r>
              <w:rPr>
                <w:rFonts w:ascii="宋体" w:hAnsi="宋体" w:eastAsia="宋体" w:cs="宋体"/>
                <w:color w:val="000000"/>
                <w:sz w:val="21"/>
              </w:rPr>
              <w:br w:type="textWrapping"/>
            </w:r>
            <w:r>
              <w:rPr>
                <w:rFonts w:ascii="宋体" w:hAnsi="宋体" w:eastAsia="宋体" w:cs="宋体"/>
                <w:color w:val="000000"/>
                <w:sz w:val="21"/>
              </w:rPr>
              <w:t xml:space="preserve">    报告期内，本理财产品管理人严格遵守相关法律法规以及产品销售协议，对理财产品组合资产的流动性风险进行管理，报告期内未发生流动性风险。</w:t>
            </w:r>
            <w:r>
              <w:rPr>
                <w:rFonts w:ascii="宋体" w:hAnsi="宋体" w:eastAsia="宋体" w:cs="宋体"/>
                <w:color w:val="000000"/>
                <w:sz w:val="21"/>
              </w:rPr>
              <w:br w:type="textWrapping"/>
            </w: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1540" w:hRule="exact"/>
        </w:trPr>
        <w:tc>
          <w:p>
            <w:pPr>
              <w:pStyle w:val="4"/>
            </w:pPr>
          </w:p>
        </w:tc>
        <w:tc>
          <w:p>
            <w:pPr>
              <w:pStyle w:val="4"/>
            </w:pPr>
          </w:p>
        </w:tc>
        <w:tc>
          <w:tcPr>
            <w:gridSpan w:val="5"/>
          </w:tcPr>
          <w:p>
            <w:pPr>
              <w:pStyle w:val="4"/>
            </w:pPr>
          </w:p>
        </w:tc>
        <w:tc>
          <w:tcPr>
            <w:gridSpan w:val="3"/>
          </w:tcPr>
          <w:p>
            <w:pPr>
              <w:pStyle w:val="4"/>
            </w:pPr>
          </w:p>
        </w:tc>
        <w:tc>
          <w:tcPr>
            <w:gridSpan w:val="2"/>
          </w:tcPr>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400" w:hRule="atLeast"/>
        </w:trPr>
        <w:tc>
          <w:p>
            <w:pPr>
              <w:pStyle w:val="4"/>
            </w:pPr>
          </w:p>
        </w:tc>
        <w:tc>
          <w:p>
            <w:pPr>
              <w:pStyle w:val="4"/>
            </w:pPr>
          </w:p>
        </w:tc>
        <w:tc>
          <w:tcPr>
            <w:gridSpan w:val="5"/>
          </w:tcPr>
          <w:p>
            <w:pPr>
              <w:pStyle w:val="4"/>
            </w:pPr>
          </w:p>
        </w:tc>
        <w:tc>
          <w:tcPr>
            <w:gridSpan w:val="3"/>
            <w:tcMar>
              <w:top w:w="0" w:type="dxa"/>
              <w:left w:w="0" w:type="dxa"/>
              <w:bottom w:w="0" w:type="dxa"/>
              <w:right w:w="0" w:type="dxa"/>
            </w:tcMar>
            <w:vAlign w:val="top"/>
          </w:tcPr>
          <w:p>
            <w:pPr>
              <w:jc w:val="right"/>
            </w:pPr>
            <w:r>
              <w:rPr>
                <w:rFonts w:ascii="SansSerif" w:hAnsi="SansSerif" w:eastAsia="SansSerif" w:cs="SansSerif"/>
                <w:color w:val="000000"/>
                <w:sz w:val="18"/>
              </w:rPr>
              <w:t>5/</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7</w:t>
            </w: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trHeight w:val="0" w:hRule="atLeast"/>
        </w:trPr>
        <w:tc>
          <w:p>
            <w:pPr>
              <w:pStyle w:val="4"/>
              <w:pageBreakBefore/>
            </w:pPr>
            <w:bookmarkStart w:id="5" w:name="JR_PAGE_ANCHOR_0_6"/>
            <w:bookmarkEnd w:id="5"/>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15"/>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兴银理财天天万利宝稳利恒盈7号封闭式净值型理财产品第28期2023年第一季度报告</w:t>
            </w:r>
          </w:p>
        </w:tc>
        <w:tc>
          <w:tcPr>
            <w:gridSpan w:val="4"/>
          </w:tcPr>
          <w:p>
            <w:pPr>
              <w:pStyle w:val="4"/>
            </w:pPr>
          </w:p>
        </w:tc>
        <w:tc>
          <w:p>
            <w:pPr>
              <w:pStyle w:val="4"/>
            </w:pPr>
          </w:p>
        </w:tc>
      </w:tr>
      <w:tr>
        <w:tblPrEx>
          <w:tblCellMar>
            <w:top w:w="0" w:type="dxa"/>
            <w:left w:w="10" w:type="dxa"/>
            <w:bottom w:w="0" w:type="dxa"/>
            <w:right w:w="10" w:type="dxa"/>
          </w:tblCellMar>
        </w:tblPrEx>
        <w:trPr>
          <w:trHeight w:val="20" w:hRule="exact"/>
        </w:trPr>
        <w:tc>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20" w:hRule="exact"/>
        </w:trPr>
        <w:tc>
          <w:p>
            <w:pPr>
              <w:pStyle w:val="4"/>
            </w:pPr>
          </w:p>
        </w:tc>
        <w:tc>
          <w:tcPr>
            <w:gridSpan w:val="15"/>
            <w:tcBorders>
              <w:top w:val="single" w:color="000000" w:sz="8" w:space="0"/>
            </w:tcBorders>
            <w:shd w:val="clear" w:color="auto" w:fill="FFFFFF"/>
            <w:tcMar>
              <w:top w:w="0" w:type="dxa"/>
              <w:left w:w="0" w:type="dxa"/>
              <w:bottom w:w="0" w:type="dxa"/>
              <w:right w:w="0" w:type="dxa"/>
            </w:tcMar>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600" w:hRule="atLeast"/>
        </w:trPr>
        <w:tc>
          <w:p>
            <w:pPr>
              <w:pStyle w:val="4"/>
            </w:pPr>
          </w:p>
        </w:tc>
        <w:tc>
          <w:tcPr>
            <w:gridSpan w:val="2"/>
          </w:tcPr>
          <w:p>
            <w:pPr>
              <w:pStyle w:val="4"/>
            </w:pPr>
          </w:p>
        </w:tc>
        <w:tc>
          <w:tcPr>
            <w:gridSpan w:val="17"/>
            <w:tcMar>
              <w:top w:w="0" w:type="dxa"/>
              <w:left w:w="0" w:type="dxa"/>
              <w:bottom w:w="0" w:type="dxa"/>
              <w:right w:w="0" w:type="dxa"/>
            </w:tcMar>
            <w:vAlign w:val="center"/>
          </w:tcPr>
          <w:p>
            <w:r>
              <w:rPr>
                <w:rFonts w:ascii="宋体" w:hAnsi="宋体" w:eastAsia="宋体" w:cs="宋体"/>
                <w:b/>
                <w:color w:val="000000"/>
                <w:sz w:val="21"/>
              </w:rPr>
              <w:t>4.报告期末资产持仓前十基本信息</w:t>
            </w:r>
          </w:p>
        </w:tc>
        <w:tc>
          <w:p>
            <w:pPr>
              <w:pStyle w:val="4"/>
            </w:pPr>
          </w:p>
        </w:tc>
      </w:tr>
      <w:tr>
        <w:tblPrEx>
          <w:tblCellMar>
            <w:top w:w="0" w:type="dxa"/>
            <w:left w:w="10" w:type="dxa"/>
            <w:bottom w:w="0" w:type="dxa"/>
            <w:right w:w="10" w:type="dxa"/>
          </w:tblCellMar>
        </w:tblPrEx>
        <w:trPr>
          <w:trHeight w:val="6640" w:hRule="exact"/>
        </w:trPr>
        <w:tc>
          <w:p>
            <w:pPr>
              <w:pStyle w:val="4"/>
            </w:pPr>
          </w:p>
        </w:tc>
        <w:tc>
          <w:tcPr>
            <w:gridSpan w:val="2"/>
          </w:tcPr>
          <w:p>
            <w:pPr>
              <w:pStyle w:val="4"/>
            </w:pPr>
          </w:p>
        </w:tc>
        <w:tc>
          <w:tcPr>
            <w:gridSpan w:val="17"/>
            <w:tcBorders>
              <w:bottom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gridCol w:w="4000"/>
              <w:gridCol w:w="2600"/>
              <w:gridCol w:w="3100"/>
            </w:tblGrid>
            <w:tr>
              <w:tblPrEx>
                <w:tblCellMar>
                  <w:top w:w="0" w:type="dxa"/>
                  <w:left w:w="10" w:type="dxa"/>
                  <w:bottom w:w="0" w:type="dxa"/>
                  <w:right w:w="10" w:type="dxa"/>
                </w:tblCellMar>
              </w:tblPrEx>
              <w:trPr>
                <w:trHeight w:val="64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64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序号</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4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资产名称</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4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资产规模</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4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占产品资产净值的比例（%）</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22沛县国资PPN001</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49,941,403.29</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5.66</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21南平高速MTN001</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49,634,546.55</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5.62</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19淮安交通MTN001</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48,999,172.41</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5.55</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21淮安城资MTN001</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40,686,755.05</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4.61</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5</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19兴创投资MTN001</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30,506,040.72</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3.46</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6</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20十堰国投MTN002</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30,449,512.24</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3.45</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7</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21盐城城投PPN003</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30,441,187.50</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3.45</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8</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21山东国惠MTN001</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30,362,139.25</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3.44</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21川能投PPN001</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30,356,852.05</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3.44</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21太湖新城PPN001</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30,334,718.31</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3.44</w:t>
                        </w:r>
                      </w:p>
                    </w:tc>
                  </w:tr>
                </w:tbl>
                <w:p>
                  <w:pPr>
                    <w:pStyle w:val="4"/>
                  </w:pPr>
                </w:p>
              </w:tc>
            </w:tr>
          </w:tbl>
          <w:p>
            <w:pPr>
              <w:pStyle w:val="4"/>
            </w:pPr>
          </w:p>
        </w:tc>
        <w:tc>
          <w:p>
            <w:pPr>
              <w:pStyle w:val="4"/>
            </w:pPr>
          </w:p>
        </w:tc>
      </w:tr>
      <w:tr>
        <w:tblPrEx>
          <w:tblCellMar>
            <w:top w:w="0" w:type="dxa"/>
            <w:left w:w="10" w:type="dxa"/>
            <w:bottom w:w="0" w:type="dxa"/>
            <w:right w:w="10" w:type="dxa"/>
          </w:tblCellMar>
        </w:tblPrEx>
        <w:trPr>
          <w:trHeight w:val="560" w:hRule="exact"/>
        </w:trPr>
        <w:tc>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600" w:hRule="atLeast"/>
        </w:trPr>
        <w:tc>
          <w:p>
            <w:pPr>
              <w:pStyle w:val="4"/>
            </w:pPr>
          </w:p>
        </w:tc>
        <w:tc>
          <w:tcPr>
            <w:gridSpan w:val="15"/>
            <w:tcMar>
              <w:top w:w="0" w:type="dxa"/>
              <w:left w:w="0" w:type="dxa"/>
              <w:bottom w:w="0" w:type="dxa"/>
              <w:right w:w="0" w:type="dxa"/>
            </w:tcMar>
            <w:vAlign w:val="center"/>
          </w:tcPr>
          <w:p>
            <w:r>
              <w:rPr>
                <w:rFonts w:ascii="宋体" w:hAnsi="宋体" w:eastAsia="宋体" w:cs="宋体"/>
                <w:b/>
                <w:color w:val="000000"/>
                <w:sz w:val="21"/>
              </w:rPr>
              <w:t>5.报告期间关联交易情况</w:t>
            </w: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2"/>
          </w:tcPr>
          <w:p>
            <w:pPr>
              <w:pStyle w:val="4"/>
            </w:pPr>
          </w:p>
        </w:tc>
        <w:tc>
          <w:tcPr>
            <w:gridSpan w:val="2"/>
          </w:tcPr>
          <w:p>
            <w:pPr>
              <w:pStyle w:val="4"/>
            </w:pPr>
          </w:p>
        </w:tc>
        <w:tc>
          <w:tcPr>
            <w:gridSpan w:val="11"/>
            <w:tcMar>
              <w:top w:w="0" w:type="dxa"/>
              <w:left w:w="0" w:type="dxa"/>
              <w:bottom w:w="0" w:type="dxa"/>
              <w:right w:w="0" w:type="dxa"/>
            </w:tcMar>
            <w:vAlign w:val="top"/>
          </w:tcPr>
          <w:p>
            <w:r>
              <w:rPr>
                <w:rFonts w:ascii="宋体" w:hAnsi="宋体" w:eastAsia="宋体" w:cs="宋体"/>
                <w:color w:val="000000"/>
                <w:sz w:val="20"/>
              </w:rPr>
              <w:t>5.1 理财产品在报告期末投资关联方发行、承销的证券的情况</w:t>
            </w:r>
          </w:p>
        </w:tc>
        <w:tc>
          <w:tcPr>
            <w:gridSpan w:val="4"/>
          </w:tcPr>
          <w:p>
            <w:pPr>
              <w:pStyle w:val="4"/>
            </w:pPr>
          </w:p>
        </w:tc>
        <w:tc>
          <w:p>
            <w:pPr>
              <w:pStyle w:val="4"/>
            </w:pPr>
          </w:p>
        </w:tc>
      </w:tr>
      <w:tr>
        <w:tblPrEx>
          <w:tblCellMar>
            <w:top w:w="0" w:type="dxa"/>
            <w:left w:w="10" w:type="dxa"/>
            <w:bottom w:w="0" w:type="dxa"/>
            <w:right w:w="10" w:type="dxa"/>
          </w:tblCellMar>
        </w:tblPrEx>
        <w:trPr>
          <w:trHeight w:val="4800" w:hRule="exact"/>
        </w:trPr>
        <w:tc>
          <w:p>
            <w:pPr>
              <w:pStyle w:val="4"/>
            </w:pPr>
          </w:p>
        </w:tc>
        <w:tc>
          <w:tcPr>
            <w:gridSpan w:val="15"/>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800"/>
              <w:gridCol w:w="3000"/>
              <w:gridCol w:w="2800"/>
              <w:gridCol w:w="3100"/>
            </w:tblGrid>
            <w:tr>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BFBFB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产品代码</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资产名称</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资产面额（元）</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承销商/发行人</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9N213280</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21东台城投MTN001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9N213280</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21高淳经开MTN001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9N213280</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21淮安城资MTN001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9N213280</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21武金控MTN001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9N213280</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21夏商MTN001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9N213280</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21中航租赁MTN002</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9N213280</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22温江兴蓉CP001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bl>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200" w:hRule="exact"/>
        </w:trPr>
        <w:tc>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2"/>
          </w:tcPr>
          <w:p>
            <w:pPr>
              <w:pStyle w:val="4"/>
            </w:pPr>
          </w:p>
        </w:tc>
        <w:tc>
          <w:tcPr>
            <w:gridSpan w:val="2"/>
          </w:tcPr>
          <w:p>
            <w:pPr>
              <w:pStyle w:val="4"/>
            </w:pPr>
          </w:p>
        </w:tc>
        <w:tc>
          <w:tcPr>
            <w:gridSpan w:val="11"/>
            <w:tcMar>
              <w:top w:w="0" w:type="dxa"/>
              <w:left w:w="0" w:type="dxa"/>
              <w:bottom w:w="0" w:type="dxa"/>
              <w:right w:w="0" w:type="dxa"/>
            </w:tcMar>
            <w:vAlign w:val="top"/>
          </w:tcPr>
          <w:p>
            <w:r>
              <w:rPr>
                <w:rFonts w:ascii="宋体" w:hAnsi="宋体" w:eastAsia="宋体" w:cs="宋体"/>
                <w:color w:val="000000"/>
                <w:sz w:val="20"/>
              </w:rPr>
              <w:t>5.2 理财产品在报告期内其他关联交易</w:t>
            </w:r>
          </w:p>
        </w:tc>
        <w:tc>
          <w:tcPr>
            <w:gridSpan w:val="4"/>
          </w:tcPr>
          <w:p>
            <w:pPr>
              <w:pStyle w:val="4"/>
            </w:pPr>
          </w:p>
        </w:tc>
        <w:tc>
          <w:p>
            <w:pPr>
              <w:pStyle w:val="4"/>
            </w:pPr>
          </w:p>
        </w:tc>
      </w:tr>
      <w:tr>
        <w:tblPrEx>
          <w:tblCellMar>
            <w:top w:w="0" w:type="dxa"/>
            <w:left w:w="10" w:type="dxa"/>
            <w:bottom w:w="0" w:type="dxa"/>
            <w:right w:w="10" w:type="dxa"/>
          </w:tblCellMar>
        </w:tblPrEx>
        <w:trPr>
          <w:trHeight w:val="600" w:hRule="exact"/>
        </w:trPr>
        <w:tc>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2"/>
          </w:tcPr>
          <w:p>
            <w:pPr>
              <w:pStyle w:val="4"/>
            </w:pPr>
          </w:p>
        </w:tc>
        <w:tc>
          <w:tcPr>
            <w:gridSpan w:val="2"/>
          </w:tcPr>
          <w:p>
            <w:pPr>
              <w:pStyle w:val="4"/>
            </w:pPr>
          </w:p>
        </w:tc>
        <w:tc>
          <w:tcPr>
            <w:gridSpan w:val="2"/>
          </w:tcPr>
          <w:p>
            <w:pPr>
              <w:pStyle w:val="4"/>
            </w:pPr>
          </w:p>
        </w:tc>
        <w:tc>
          <w:tcPr>
            <w:gridSpan w:val="3"/>
            <w:tcMar>
              <w:top w:w="0" w:type="dxa"/>
              <w:left w:w="0" w:type="dxa"/>
              <w:bottom w:w="0" w:type="dxa"/>
              <w:right w:w="0" w:type="dxa"/>
            </w:tcMar>
            <w:vAlign w:val="top"/>
          </w:tcPr>
          <w:p>
            <w:pPr>
              <w:jc w:val="right"/>
            </w:pPr>
            <w:r>
              <w:rPr>
                <w:rFonts w:ascii="SansSerif" w:hAnsi="SansSerif" w:eastAsia="SansSerif" w:cs="SansSerif"/>
                <w:color w:val="000000"/>
                <w:sz w:val="18"/>
              </w:rPr>
              <w:t>6/</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7</w:t>
            </w: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0" w:hRule="atLeast"/>
        </w:trPr>
        <w:tc>
          <w:p>
            <w:pPr>
              <w:pStyle w:val="4"/>
              <w:pageBreakBefore/>
            </w:pPr>
            <w:bookmarkStart w:id="6" w:name="JR_PAGE_ANCHOR_0_7"/>
            <w:bookmarkEnd w:id="6"/>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15"/>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兴银理财天天万利宝稳利恒盈7号封闭式净值型理财产品第28期2023年第一季度报告</w:t>
            </w:r>
          </w:p>
        </w:tc>
        <w:tc>
          <w:tcPr>
            <w:gridSpan w:val="4"/>
          </w:tcPr>
          <w:p>
            <w:pPr>
              <w:pStyle w:val="4"/>
            </w:pPr>
          </w:p>
        </w:tc>
        <w:tc>
          <w:p>
            <w:pPr>
              <w:pStyle w:val="4"/>
            </w:pPr>
          </w:p>
        </w:tc>
      </w:tr>
      <w:tr>
        <w:tblPrEx>
          <w:tblCellMar>
            <w:top w:w="0" w:type="dxa"/>
            <w:left w:w="10" w:type="dxa"/>
            <w:bottom w:w="0" w:type="dxa"/>
            <w:right w:w="10" w:type="dxa"/>
          </w:tblCellMar>
        </w:tblPrEx>
        <w:trPr>
          <w:trHeight w:val="20" w:hRule="exact"/>
        </w:trPr>
        <w:tc>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20" w:hRule="exact"/>
        </w:trPr>
        <w:tc>
          <w:p>
            <w:pPr>
              <w:pStyle w:val="4"/>
            </w:pPr>
          </w:p>
        </w:tc>
        <w:tc>
          <w:tcPr>
            <w:gridSpan w:val="15"/>
            <w:tcBorders>
              <w:top w:val="single" w:color="000000" w:sz="8" w:space="0"/>
            </w:tcBorders>
            <w:shd w:val="clear" w:color="auto" w:fill="FFFFFF"/>
            <w:tcMar>
              <w:top w:w="0" w:type="dxa"/>
              <w:left w:w="0" w:type="dxa"/>
              <w:bottom w:w="0" w:type="dxa"/>
              <w:right w:w="0" w:type="dxa"/>
            </w:tcMar>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600" w:hRule="exact"/>
        </w:trPr>
        <w:tc>
          <w:p>
            <w:pPr>
              <w:pStyle w:val="4"/>
            </w:pPr>
          </w:p>
        </w:tc>
        <w:tc>
          <w:tcPr>
            <w:gridSpan w:val="15"/>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600"/>
              <w:gridCol w:w="2200"/>
              <w:gridCol w:w="2200"/>
              <w:gridCol w:w="1800"/>
              <w:gridCol w:w="2900"/>
            </w:tblGrid>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BFBFB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5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产品代码</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交易标的</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交易金额（万元）</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交易类型</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9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关联方名称</w:t>
                        </w:r>
                      </w:p>
                    </w:tc>
                  </w:tr>
                </w:tbl>
                <w:p>
                  <w:pPr>
                    <w:pStyle w:val="4"/>
                  </w:pPr>
                </w:p>
              </w:tc>
            </w:tr>
          </w:tbl>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600" w:hRule="exact"/>
        </w:trPr>
        <w:tc>
          <w:p>
            <w:pPr>
              <w:pStyle w:val="4"/>
            </w:pPr>
          </w:p>
        </w:tc>
        <w:tc>
          <w:tcPr>
            <w:gridSpan w:val="15"/>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700"/>
            </w:tblGrid>
            <w:tr>
              <w:tblPrEx>
                <w:tblCellMar>
                  <w:top w:w="0" w:type="dxa"/>
                  <w:left w:w="10" w:type="dxa"/>
                  <w:bottom w:w="0" w:type="dxa"/>
                  <w:right w:w="10" w:type="dxa"/>
                </w:tblCellMar>
              </w:tblPrEx>
              <w:trPr>
                <w:trHeight w:val="600" w:hRule="exact"/>
              </w:trPr>
              <w:tc>
                <w:tcPr>
                  <w:tcBorders>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6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无</w:t>
                        </w:r>
                      </w:p>
                    </w:tc>
                    <w:tc>
                      <w:p>
                        <w:pPr>
                          <w:pStyle w:val="4"/>
                        </w:pPr>
                      </w:p>
                    </w:tc>
                  </w:tr>
                </w:tbl>
                <w:p>
                  <w:pPr>
                    <w:pStyle w:val="4"/>
                  </w:pPr>
                </w:p>
              </w:tc>
            </w:tr>
          </w:tbl>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200" w:hRule="exact"/>
        </w:trPr>
        <w:tc>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2"/>
          </w:tcPr>
          <w:p>
            <w:pPr>
              <w:pStyle w:val="4"/>
            </w:pPr>
          </w:p>
        </w:tc>
        <w:tc>
          <w:tcPr>
            <w:gridSpan w:val="2"/>
          </w:tcPr>
          <w:p>
            <w:pPr>
              <w:pStyle w:val="4"/>
            </w:pPr>
          </w:p>
        </w:tc>
        <w:tc>
          <w:tcPr>
            <w:gridSpan w:val="11"/>
            <w:tcMar>
              <w:top w:w="0" w:type="dxa"/>
              <w:left w:w="0" w:type="dxa"/>
              <w:bottom w:w="0" w:type="dxa"/>
              <w:right w:w="0" w:type="dxa"/>
            </w:tcMar>
            <w:vAlign w:val="top"/>
          </w:tcPr>
          <w:p>
            <w:r>
              <w:rPr>
                <w:rFonts w:ascii="宋体" w:hAnsi="宋体" w:eastAsia="宋体" w:cs="宋体"/>
                <w:color w:val="000000"/>
                <w:sz w:val="20"/>
              </w:rPr>
              <w:t>5.3 理财产品在报告期内中的重大关联交易</w:t>
            </w:r>
          </w:p>
        </w:tc>
        <w:tc>
          <w:tcPr>
            <w:gridSpan w:val="4"/>
          </w:tcPr>
          <w:p>
            <w:pPr>
              <w:pStyle w:val="4"/>
            </w:pPr>
          </w:p>
        </w:tc>
        <w:tc>
          <w:p>
            <w:pPr>
              <w:pStyle w:val="4"/>
            </w:pPr>
          </w:p>
        </w:tc>
      </w:tr>
      <w:tr>
        <w:tblPrEx>
          <w:tblCellMar>
            <w:top w:w="0" w:type="dxa"/>
            <w:left w:w="10" w:type="dxa"/>
            <w:bottom w:w="0" w:type="dxa"/>
            <w:right w:w="10" w:type="dxa"/>
          </w:tblCellMar>
        </w:tblPrEx>
        <w:trPr>
          <w:trHeight w:val="600" w:hRule="exact"/>
        </w:trPr>
        <w:tc>
          <w:p>
            <w:pPr>
              <w:pStyle w:val="4"/>
            </w:pPr>
          </w:p>
        </w:tc>
        <w:tc>
          <w:tcPr>
            <w:gridSpan w:val="15"/>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600"/>
              <w:gridCol w:w="2200"/>
              <w:gridCol w:w="2200"/>
              <w:gridCol w:w="1800"/>
              <w:gridCol w:w="2900"/>
            </w:tblGrid>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BFBFB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580"/>
                    <w:gridCol w:w="2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产品代码</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资产名称</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资产面额（元）</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8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交易类型</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9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关联方名称</w:t>
                        </w:r>
                      </w:p>
                    </w:tc>
                  </w:tr>
                </w:tbl>
                <w:p>
                  <w:pPr>
                    <w:pStyle w:val="4"/>
                  </w:pPr>
                </w:p>
              </w:tc>
            </w:tr>
          </w:tbl>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600" w:hRule="exact"/>
        </w:trPr>
        <w:tc>
          <w:p>
            <w:pPr>
              <w:pStyle w:val="4"/>
            </w:pPr>
          </w:p>
        </w:tc>
        <w:tc>
          <w:tcPr>
            <w:gridSpan w:val="15"/>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700"/>
            </w:tblGrid>
            <w:tr>
              <w:trPr>
                <w:trHeight w:val="600" w:hRule="exact"/>
              </w:trPr>
              <w:tc>
                <w:tcPr>
                  <w:tcBorders>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6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无</w:t>
                        </w:r>
                      </w:p>
                    </w:tc>
                    <w:tc>
                      <w:p>
                        <w:pPr>
                          <w:pStyle w:val="4"/>
                        </w:pPr>
                      </w:p>
                    </w:tc>
                  </w:tr>
                </w:tbl>
                <w:p>
                  <w:pPr>
                    <w:pStyle w:val="4"/>
                  </w:pPr>
                </w:p>
              </w:tc>
            </w:tr>
          </w:tbl>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160" w:hRule="exact"/>
        </w:trPr>
        <w:tc>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2"/>
          </w:tcPr>
          <w:p>
            <w:pPr>
              <w:pStyle w:val="4"/>
            </w:pPr>
          </w:p>
        </w:tc>
        <w:tc>
          <w:tcPr>
            <w:gridSpan w:val="17"/>
            <w:tcMar>
              <w:top w:w="0" w:type="dxa"/>
              <w:left w:w="0" w:type="dxa"/>
              <w:bottom w:w="0" w:type="dxa"/>
              <w:right w:w="0" w:type="dxa"/>
            </w:tcMar>
            <w:vAlign w:val="center"/>
          </w:tcPr>
          <w:p>
            <w:pPr>
              <w:jc w:val="left"/>
            </w:pPr>
            <w:r>
              <w:rPr>
                <w:rFonts w:ascii="宋体" w:hAnsi="宋体" w:eastAsia="宋体" w:cs="宋体"/>
                <w:b/>
                <w:color w:val="000000"/>
                <w:sz w:val="21"/>
              </w:rPr>
              <w:t>6.投资账户信息</w:t>
            </w:r>
          </w:p>
        </w:tc>
        <w:tc>
          <w:p>
            <w:pPr>
              <w:pStyle w:val="4"/>
            </w:pPr>
          </w:p>
        </w:tc>
      </w:tr>
      <w:tr>
        <w:tblPrEx>
          <w:tblCellMar>
            <w:top w:w="0" w:type="dxa"/>
            <w:left w:w="10" w:type="dxa"/>
            <w:bottom w:w="0" w:type="dxa"/>
            <w:right w:w="10" w:type="dxa"/>
          </w:tblCellMar>
        </w:tblPrEx>
        <w:trPr>
          <w:trHeight w:val="1200" w:hRule="exact"/>
        </w:trPr>
        <w:tc>
          <w:p>
            <w:pPr>
              <w:pStyle w:val="4"/>
            </w:pPr>
          </w:p>
        </w:tc>
        <w:tc>
          <w:tcPr>
            <w:gridSpan w:val="2"/>
          </w:tcPr>
          <w:p>
            <w:pPr>
              <w:pStyle w:val="4"/>
            </w:pPr>
          </w:p>
        </w:tc>
        <w:tc>
          <w:tcPr>
            <w:gridSpan w:val="17"/>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gridCol w:w="2200"/>
              <w:gridCol w:w="3000"/>
              <w:gridCol w:w="4500"/>
            </w:tblGrid>
            <w:tr>
              <w:tblPrEx>
                <w:tblCellMar>
                  <w:top w:w="0" w:type="dxa"/>
                  <w:left w:w="10" w:type="dxa"/>
                  <w:bottom w:w="0" w:type="dxa"/>
                  <w:right w:w="10" w:type="dxa"/>
                </w:tblCellMar>
              </w:tblPrEx>
              <w:trPr>
                <w:trHeight w:val="60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序号</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账户类型</w:t>
                        </w:r>
                      </w:p>
                    </w:tc>
                  </w:tr>
                </w:tbl>
                <w:p>
                  <w:pPr>
                    <w:pStyle w:val="4"/>
                  </w:pPr>
                </w:p>
              </w:tc>
              <w:tc>
                <w:tcPr>
                  <w:tcBorders>
                    <w:top w:val="single" w:color="000000" w:sz="8" w:space="0"/>
                    <w:left w:val="single" w:color="000000" w:sz="8" w:space="0"/>
                    <w:bottom w:val="single" w:color="000000" w:sz="8" w:space="0"/>
                    <w:right w:val="single" w:color="000000" w:sz="8"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账户编号</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3B4B5"/>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500"/>
                  </w:tblGrid>
                  <w:tr>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账户名称</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托管账户</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051010100101349813</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5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兴银理财天天万利宝稳利恒盈7号封闭式净值型理财产品第28期</w:t>
                        </w:r>
                      </w:p>
                    </w:tc>
                  </w:tr>
                </w:tbl>
                <w:p>
                  <w:pPr>
                    <w:pStyle w:val="4"/>
                  </w:pPr>
                </w:p>
              </w:tc>
            </w:tr>
          </w:tbl>
          <w:p>
            <w:pPr>
              <w:pStyle w:val="4"/>
            </w:pPr>
          </w:p>
        </w:tc>
        <w:tc>
          <w:p>
            <w:pPr>
              <w:pStyle w:val="4"/>
            </w:pPr>
          </w:p>
        </w:tc>
      </w:tr>
      <w:tr>
        <w:tblPrEx>
          <w:tblCellMar>
            <w:top w:w="0" w:type="dxa"/>
            <w:left w:w="10" w:type="dxa"/>
            <w:bottom w:w="0" w:type="dxa"/>
            <w:right w:w="10" w:type="dxa"/>
          </w:tblCellMar>
        </w:tblPrEx>
        <w:trPr>
          <w:trHeight w:val="960" w:hRule="exact"/>
        </w:trPr>
        <w:tc>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15"/>
            <w:tcMar>
              <w:top w:w="0" w:type="dxa"/>
              <w:left w:w="0" w:type="dxa"/>
              <w:bottom w:w="0" w:type="dxa"/>
              <w:right w:w="0" w:type="dxa"/>
            </w:tcMar>
            <w:vAlign w:val="center"/>
          </w:tcPr>
          <w:p>
            <w:pPr>
              <w:jc w:val="right"/>
            </w:pPr>
            <w:r>
              <w:rPr>
                <w:rFonts w:ascii="宋体" w:hAnsi="宋体" w:eastAsia="宋体" w:cs="宋体"/>
                <w:color w:val="000000"/>
                <w:sz w:val="21"/>
              </w:rPr>
              <w:t>兴银理财有限责任公司</w:t>
            </w: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15"/>
            <w:tcMar>
              <w:top w:w="0" w:type="dxa"/>
              <w:left w:w="0" w:type="dxa"/>
              <w:bottom w:w="0" w:type="dxa"/>
              <w:right w:w="0" w:type="dxa"/>
            </w:tcMar>
            <w:vAlign w:val="top"/>
          </w:tcPr>
          <w:p>
            <w:pPr>
              <w:jc w:val="right"/>
            </w:pPr>
            <w:r>
              <w:rPr>
                <w:rFonts w:ascii="宋体" w:hAnsi="宋体" w:eastAsia="宋体" w:cs="宋体"/>
                <w:color w:val="000000"/>
                <w:sz w:val="21"/>
              </w:rPr>
              <w:t>2023年4月23日</w:t>
            </w:r>
          </w:p>
        </w:tc>
        <w:tc>
          <w:tcPr>
            <w:gridSpan w:val="4"/>
          </w:tcPr>
          <w:p>
            <w:pPr>
              <w:pStyle w:val="4"/>
            </w:pPr>
          </w:p>
        </w:tc>
        <w:tc>
          <w:p>
            <w:pPr>
              <w:pStyle w:val="4"/>
            </w:pPr>
          </w:p>
        </w:tc>
      </w:tr>
      <w:tr>
        <w:tblPrEx>
          <w:tblCellMar>
            <w:top w:w="0" w:type="dxa"/>
            <w:left w:w="10" w:type="dxa"/>
            <w:bottom w:w="0" w:type="dxa"/>
            <w:right w:w="10" w:type="dxa"/>
          </w:tblCellMar>
        </w:tblPrEx>
        <w:trPr>
          <w:trHeight w:val="8280" w:hRule="exact"/>
        </w:trPr>
        <w:tc>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2"/>
          </w:tcPr>
          <w:p>
            <w:pPr>
              <w:pStyle w:val="4"/>
            </w:pPr>
          </w:p>
        </w:tc>
        <w:tc>
          <w:tcPr>
            <w:gridSpan w:val="2"/>
          </w:tcPr>
          <w:p>
            <w:pPr>
              <w:pStyle w:val="4"/>
            </w:pPr>
          </w:p>
        </w:tc>
        <w:tc>
          <w:tcPr>
            <w:gridSpan w:val="2"/>
          </w:tcPr>
          <w:p>
            <w:pPr>
              <w:pStyle w:val="4"/>
            </w:pPr>
          </w:p>
        </w:tc>
        <w:tc>
          <w:tcPr>
            <w:gridSpan w:val="3"/>
            <w:tcMar>
              <w:top w:w="0" w:type="dxa"/>
              <w:left w:w="0" w:type="dxa"/>
              <w:bottom w:w="0" w:type="dxa"/>
              <w:right w:w="0" w:type="dxa"/>
            </w:tcMar>
            <w:vAlign w:val="top"/>
          </w:tcPr>
          <w:p>
            <w:pPr>
              <w:jc w:val="right"/>
            </w:pPr>
            <w:r>
              <w:rPr>
                <w:rFonts w:ascii="SansSerif" w:hAnsi="SansSerif" w:eastAsia="SansSerif" w:cs="SansSerif"/>
                <w:color w:val="000000"/>
                <w:sz w:val="18"/>
              </w:rPr>
              <w:t>7/</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7</w:t>
            </w:r>
          </w:p>
        </w:tc>
        <w:tc>
          <w:tcPr>
            <w:gridSpan w:val="4"/>
          </w:tcPr>
          <w:p>
            <w:pPr>
              <w:pStyle w:val="4"/>
            </w:pPr>
          </w:p>
        </w:tc>
        <w:tc>
          <w:tcPr>
            <w:gridSpan w:val="4"/>
          </w:tcPr>
          <w:p>
            <w:pPr>
              <w:pStyle w:val="4"/>
            </w:pPr>
          </w:p>
        </w:tc>
        <w:tc>
          <w:p>
            <w:pPr>
              <w:pStyle w:val="4"/>
            </w:pPr>
          </w:p>
        </w:tc>
      </w:tr>
    </w:tbl>
    <w:p/>
    <w:sectPr>
      <w:pgSz w:w="11900" w:h="16840"/>
      <w:pgMar w:top="600" w:right="560" w:bottom="240" w:left="600" w:header="0" w:footer="0" w:gutter="0"/>
      <w:cols w:space="720" w:num="1"/>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SansSerif">
    <w:altName w:val="Segoe Print"/>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 w:name="Segoe Print">
    <w:panose1 w:val="02000600000000000000"/>
    <w:charset w:val="00"/>
    <w:family w:val="auto"/>
    <w:pitch w:val="default"/>
    <w:sig w:usb0="0000028F" w:usb1="00000000" w:usb2="00000000" w:usb3="00000000" w:csb0="2000009F" w:csb1="4701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ocumentProtection w:enforcement="0"/>
  <w:defaultTabStop w:val="800"/>
  <w:compat>
    <w:useFELayout/>
    <w:splitPgBreakAndParaMark/>
    <w:compatSetting w:name="compatibilityMode" w:uri="http://schemas.microsoft.com/office/word" w:val="12"/>
  </w:compat>
  <w:rsids>
    <w:rsidRoot w:val="00000000"/>
    <w:rsid w:val="695B2E56"/>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sz w:val="21"/>
      <w:szCs w:val="22"/>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 w:type="paragraph" w:customStyle="1" w:styleId="4">
    <w:name w:val="EMPTY_CELL_STYLE"/>
    <w:qFormat/>
    <w:uiPriority w:val="0"/>
    <w:pPr>
      <w:spacing w:line="240" w:lineRule="auto"/>
    </w:pPr>
    <w:rPr>
      <w:rFonts w:ascii="SansSerif" w:hAnsi="SansSerif" w:eastAsia="SansSerif" w:cs="SansSerif"/>
      <w:color w:val="000000"/>
      <w:sz w:val="1"/>
      <w:szCs w:val="22"/>
    </w:rPr>
  </w:style>
  <w:style w:type="paragraph" w:customStyle="1" w:styleId="5">
    <w:name w:val="Table_TH"/>
    <w:qFormat/>
    <w:uiPriority w:val="0"/>
    <w:pPr>
      <w:spacing w:line="240" w:lineRule="auto"/>
    </w:pPr>
    <w:rPr>
      <w:rFonts w:ascii="SansSerif" w:hAnsi="SansSerif" w:eastAsia="SansSerif" w:cs="SansSerif"/>
      <w:color w:val="000000"/>
      <w:sz w:val="20"/>
      <w:szCs w:val="22"/>
    </w:rPr>
  </w:style>
  <w:style w:type="paragraph" w:customStyle="1" w:styleId="6">
    <w:name w:val="Table_CH"/>
    <w:qFormat/>
    <w:uiPriority w:val="0"/>
    <w:pPr>
      <w:spacing w:line="240" w:lineRule="auto"/>
    </w:pPr>
    <w:rPr>
      <w:rFonts w:ascii="SansSerif" w:hAnsi="SansSerif" w:eastAsia="SansSerif" w:cs="SansSerif"/>
      <w:color w:val="000000"/>
      <w:sz w:val="20"/>
      <w:szCs w:val="22"/>
    </w:rPr>
  </w:style>
  <w:style w:type="paragraph" w:customStyle="1" w:styleId="7">
    <w:name w:val="Table_TD"/>
    <w:qFormat/>
    <w:uiPriority w:val="0"/>
    <w:pPr>
      <w:spacing w:line="240" w:lineRule="auto"/>
    </w:pPr>
    <w:rPr>
      <w:rFonts w:ascii="SansSerif" w:hAnsi="SansSerif" w:eastAsia="SansSerif" w:cs="SansSerif"/>
      <w:color w:val="000000"/>
      <w:sz w:val="20"/>
      <w:szCs w:val="22"/>
    </w:rPr>
  </w:style>
  <w:style w:type="paragraph" w:customStyle="1" w:styleId="8">
    <w:name w:val="Table_CD"/>
    <w:qFormat/>
    <w:uiPriority w:val="0"/>
    <w:pPr>
      <w:spacing w:line="240" w:lineRule="auto"/>
    </w:pPr>
    <w:rPr>
      <w:rFonts w:ascii="SansSerif" w:hAnsi="SansSerif" w:eastAsia="SansSerif" w:cs="SansSerif"/>
      <w:color w:val="000000"/>
      <w:sz w:val="20"/>
      <w:szCs w:val="22"/>
    </w:rPr>
  </w:style>
  <w:style w:type="paragraph" w:customStyle="1" w:styleId="9">
    <w:name w:val="Table 3_TH"/>
    <w:qFormat/>
    <w:uiPriority w:val="0"/>
    <w:pPr>
      <w:spacing w:line="240" w:lineRule="auto"/>
    </w:pPr>
    <w:rPr>
      <w:rFonts w:ascii="SansSerif" w:hAnsi="SansSerif" w:eastAsia="SansSerif" w:cs="SansSerif"/>
      <w:color w:val="000000"/>
      <w:sz w:val="20"/>
      <w:szCs w:val="22"/>
    </w:rPr>
  </w:style>
  <w:style w:type="paragraph" w:customStyle="1" w:styleId="10">
    <w:name w:val="Table 3_CH"/>
    <w:qFormat/>
    <w:uiPriority w:val="0"/>
    <w:pPr>
      <w:spacing w:line="240" w:lineRule="auto"/>
    </w:pPr>
    <w:rPr>
      <w:rFonts w:ascii="SansSerif" w:hAnsi="SansSerif" w:eastAsia="SansSerif" w:cs="SansSerif"/>
      <w:color w:val="000000"/>
      <w:sz w:val="20"/>
      <w:szCs w:val="22"/>
    </w:rPr>
  </w:style>
  <w:style w:type="paragraph" w:customStyle="1" w:styleId="11">
    <w:name w:val="Table 3_TD"/>
    <w:qFormat/>
    <w:uiPriority w:val="0"/>
    <w:pPr>
      <w:spacing w:line="240" w:lineRule="auto"/>
    </w:pPr>
    <w:rPr>
      <w:rFonts w:ascii="SansSerif" w:hAnsi="SansSerif" w:eastAsia="SansSerif" w:cs="SansSerif"/>
      <w:color w:val="000000"/>
      <w:sz w:val="20"/>
      <w:szCs w:val="22"/>
    </w:rPr>
  </w:style>
  <w:style w:type="paragraph" w:customStyle="1" w:styleId="12">
    <w:name w:val="Table 4_TH"/>
    <w:qFormat/>
    <w:uiPriority w:val="0"/>
    <w:pPr>
      <w:spacing w:line="240" w:lineRule="auto"/>
    </w:pPr>
    <w:rPr>
      <w:rFonts w:ascii="SansSerif" w:hAnsi="SansSerif" w:eastAsia="SansSerif" w:cs="SansSerif"/>
      <w:color w:val="000000"/>
      <w:sz w:val="20"/>
      <w:szCs w:val="22"/>
    </w:rPr>
  </w:style>
  <w:style w:type="paragraph" w:customStyle="1" w:styleId="13">
    <w:name w:val="Table 4_CH"/>
    <w:qFormat/>
    <w:uiPriority w:val="0"/>
    <w:pPr>
      <w:spacing w:line="240" w:lineRule="auto"/>
    </w:pPr>
    <w:rPr>
      <w:rFonts w:ascii="SansSerif" w:hAnsi="SansSerif" w:eastAsia="SansSerif" w:cs="SansSerif"/>
      <w:color w:val="000000"/>
      <w:sz w:val="20"/>
      <w:szCs w:val="22"/>
    </w:rPr>
  </w:style>
  <w:style w:type="paragraph" w:customStyle="1" w:styleId="14">
    <w:name w:val="Table 4_TD"/>
    <w:qFormat/>
    <w:uiPriority w:val="0"/>
    <w:pPr>
      <w:spacing w:line="240" w:lineRule="auto"/>
    </w:pPr>
    <w:rPr>
      <w:rFonts w:ascii="SansSerif" w:hAnsi="SansSerif" w:eastAsia="SansSerif" w:cs="SansSerif"/>
      <w:color w:val="000000"/>
      <w:sz w:val="20"/>
      <w:szCs w:val="22"/>
    </w:rPr>
  </w:style>
  <w:style w:type="paragraph" w:customStyle="1" w:styleId="15">
    <w:name w:val="Table 1_TH"/>
    <w:qFormat/>
    <w:uiPriority w:val="0"/>
    <w:pPr>
      <w:spacing w:line="240" w:lineRule="auto"/>
    </w:pPr>
    <w:rPr>
      <w:rFonts w:ascii="SansSerif" w:hAnsi="SansSerif" w:eastAsia="SansSerif" w:cs="SansSerif"/>
      <w:color w:val="000000"/>
      <w:sz w:val="20"/>
      <w:szCs w:val="22"/>
    </w:rPr>
  </w:style>
  <w:style w:type="paragraph" w:customStyle="1" w:styleId="16">
    <w:name w:val="Table 1_CH"/>
    <w:qFormat/>
    <w:uiPriority w:val="0"/>
    <w:pPr>
      <w:spacing w:line="240" w:lineRule="auto"/>
    </w:pPr>
    <w:rPr>
      <w:rFonts w:ascii="SansSerif" w:hAnsi="SansSerif" w:eastAsia="SansSerif" w:cs="SansSerif"/>
      <w:color w:val="000000"/>
      <w:sz w:val="20"/>
      <w:szCs w:val="22"/>
    </w:rPr>
  </w:style>
  <w:style w:type="paragraph" w:customStyle="1" w:styleId="17">
    <w:name w:val="Table 1_TD"/>
    <w:qFormat/>
    <w:uiPriority w:val="0"/>
    <w:pPr>
      <w:spacing w:line="240" w:lineRule="auto"/>
    </w:pPr>
    <w:rPr>
      <w:rFonts w:ascii="SansSerif" w:hAnsi="SansSerif" w:eastAsia="SansSerif" w:cs="SansSerif"/>
      <w:color w:val="000000"/>
      <w:sz w:val="20"/>
      <w:szCs w:val="22"/>
    </w:rPr>
  </w:style>
  <w:style w:type="paragraph" w:customStyle="1" w:styleId="18">
    <w:name w:val="Table 2_TH"/>
    <w:qFormat/>
    <w:uiPriority w:val="0"/>
    <w:pPr>
      <w:spacing w:line="240" w:lineRule="auto"/>
    </w:pPr>
    <w:rPr>
      <w:rFonts w:ascii="SansSerif" w:hAnsi="SansSerif" w:eastAsia="SansSerif" w:cs="SansSerif"/>
      <w:color w:val="000000"/>
      <w:sz w:val="20"/>
      <w:szCs w:val="22"/>
    </w:rPr>
  </w:style>
  <w:style w:type="paragraph" w:customStyle="1" w:styleId="19">
    <w:name w:val="Table 2_CH"/>
    <w:qFormat/>
    <w:uiPriority w:val="0"/>
    <w:pPr>
      <w:spacing w:line="240" w:lineRule="auto"/>
    </w:pPr>
    <w:rPr>
      <w:rFonts w:ascii="SansSerif" w:hAnsi="SansSerif" w:eastAsia="SansSerif" w:cs="SansSerif"/>
      <w:color w:val="000000"/>
      <w:sz w:val="20"/>
      <w:szCs w:val="22"/>
    </w:rPr>
  </w:style>
  <w:style w:type="paragraph" w:customStyle="1" w:styleId="20">
    <w:name w:val="Table 2_TD"/>
    <w:qFormat/>
    <w:uiPriority w:val="0"/>
    <w:pPr>
      <w:spacing w:line="240" w:lineRule="auto"/>
    </w:pPr>
    <w:rPr>
      <w:rFonts w:ascii="SansSerif" w:hAnsi="SansSerif" w:eastAsia="SansSerif" w:cs="SansSerif"/>
      <w:color w:val="000000"/>
      <w:sz w:val="20"/>
      <w:szCs w:val="22"/>
    </w:rPr>
  </w:style>
  <w:style w:type="paragraph" w:customStyle="1" w:styleId="21">
    <w:name w:val="Table 5_TH"/>
    <w:qFormat/>
    <w:uiPriority w:val="0"/>
    <w:pPr>
      <w:spacing w:line="240" w:lineRule="auto"/>
    </w:pPr>
    <w:rPr>
      <w:rFonts w:ascii="SansSerif" w:hAnsi="SansSerif" w:eastAsia="SansSerif" w:cs="SansSerif"/>
      <w:color w:val="000000"/>
      <w:sz w:val="20"/>
      <w:szCs w:val="22"/>
    </w:rPr>
  </w:style>
  <w:style w:type="paragraph" w:customStyle="1" w:styleId="22">
    <w:name w:val="Table 5_CH"/>
    <w:qFormat/>
    <w:uiPriority w:val="0"/>
    <w:pPr>
      <w:spacing w:line="240" w:lineRule="auto"/>
    </w:pPr>
    <w:rPr>
      <w:rFonts w:ascii="SansSerif" w:hAnsi="SansSerif" w:eastAsia="SansSerif" w:cs="SansSerif"/>
      <w:color w:val="000000"/>
      <w:sz w:val="20"/>
      <w:szCs w:val="22"/>
    </w:rPr>
  </w:style>
  <w:style w:type="paragraph" w:customStyle="1" w:styleId="23">
    <w:name w:val="Table 5_TD"/>
    <w:qFormat/>
    <w:uiPriority w:val="0"/>
    <w:pPr>
      <w:spacing w:line="240" w:lineRule="auto"/>
    </w:pPr>
    <w:rPr>
      <w:rFonts w:ascii="SansSerif" w:hAnsi="SansSerif" w:eastAsia="SansSerif" w:cs="SansSerif"/>
      <w:color w:val="000000"/>
      <w:sz w:val="20"/>
      <w:szCs w:val="22"/>
    </w:rPr>
  </w:style>
  <w:style w:type="paragraph" w:customStyle="1" w:styleId="24">
    <w:name w:val="Table 6_TH"/>
    <w:qFormat/>
    <w:uiPriority w:val="0"/>
    <w:pPr>
      <w:spacing w:line="240" w:lineRule="auto"/>
    </w:pPr>
    <w:rPr>
      <w:rFonts w:ascii="SansSerif" w:hAnsi="SansSerif" w:eastAsia="SansSerif" w:cs="SansSerif"/>
      <w:color w:val="000000"/>
      <w:sz w:val="20"/>
      <w:szCs w:val="22"/>
    </w:rPr>
  </w:style>
  <w:style w:type="paragraph" w:customStyle="1" w:styleId="25">
    <w:name w:val="Table 6_CH"/>
    <w:qFormat/>
    <w:uiPriority w:val="0"/>
    <w:pPr>
      <w:spacing w:line="240" w:lineRule="auto"/>
    </w:pPr>
    <w:rPr>
      <w:rFonts w:ascii="SansSerif" w:hAnsi="SansSerif" w:eastAsia="SansSerif" w:cs="SansSerif"/>
      <w:color w:val="000000"/>
      <w:sz w:val="20"/>
      <w:szCs w:val="22"/>
    </w:rPr>
  </w:style>
  <w:style w:type="paragraph" w:customStyle="1" w:styleId="26">
    <w:name w:val="Table 6_TD"/>
    <w:qFormat/>
    <w:uiPriority w:val="0"/>
    <w:pPr>
      <w:spacing w:line="240" w:lineRule="auto"/>
    </w:pPr>
    <w:rPr>
      <w:rFonts w:ascii="SansSerif" w:hAnsi="SansSerif" w:eastAsia="SansSerif" w:cs="SansSerif"/>
      <w:color w:val="000000"/>
      <w:sz w:val="20"/>
      <w:szCs w:val="2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otalTime>0</TotalTime>
  <ScaleCrop>false</ScaleCrop>
  <LinksUpToDate>false</LinksUpToDate>
  <Application>WPS Office_11.8.2.10154_F1E327BC-269C-435d-A152-05C5408002CA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2023-04-20T08:59:27Z</dcterms:created>
  <dc:creator>cib</dc:creator>
  <cp:lastModifiedBy>cib</cp:lastModifiedBy>
  <dcterms:modified xsi:type="dcterms:W3CDTF">2023-04-20T09:03:03Z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2052-11.8.2.10154</vt:lpwstr>
  </property>
</Properties>
</file>