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兴银理财稳利恒盈ESG两年定期开放1号固收类理财产品2023年第一季度报告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兴银理财稳利恒盈ESG两年定期开放1号固收类理财产品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兴银理财稳利恒盈ESG两年定期开放1号固收类理财产品2023年第一季度报告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兴银理财稳利恒盈ESG两年定期开放1号固收类理财产品2023年第一季度报告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兴银理财稳利恒盈ESG两年定期开放1号固收类理财产品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9N215110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Z7002022000493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893,355,521.25份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4.40%--4.90%/4.90%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稳利恒盈两年定开1号A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9N21511A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187,909,014.18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稳利恒盈两年定开1号B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9N21511B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566,272,004.91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稳利恒盈两年定开1号D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9N21511D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139,174,502.16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兴银理财稳利恒盈ESG两年定期开放1号固收类理财产品2023年第一季度报告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bookmarkStart w:id="7" w:name="_GoBack"/>
            <w:bookmarkEnd w:id="7"/>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产品9N21511A自成立日以来，累计净值增长率为1.0710%，年化累计净值增长率为2.0467%。</w:t>
            </w:r>
            <w:r>
              <w:rPr>
                <w:rFonts w:ascii="宋体" w:hAnsi="宋体" w:eastAsia="宋体" w:cs="宋体"/>
                <w:color w:val="000000"/>
                <w:sz w:val="21"/>
              </w:rPr>
              <w:br w:type="textWrapping"/>
            </w:r>
            <w:r>
              <w:rPr>
                <w:rFonts w:ascii="宋体" w:hAnsi="宋体" w:eastAsia="宋体" w:cs="宋体"/>
                <w:color w:val="000000"/>
                <w:sz w:val="21"/>
              </w:rPr>
              <w:t>产品9N21511B自成立日以来，累计净值增长率为1.1240%，年化累计净值增长率为2.1480%。</w:t>
            </w:r>
            <w:r>
              <w:rPr>
                <w:rFonts w:ascii="宋体" w:hAnsi="宋体" w:eastAsia="宋体" w:cs="宋体"/>
                <w:color w:val="000000"/>
                <w:sz w:val="21"/>
              </w:rPr>
              <w:br w:type="textWrapping"/>
            </w:r>
            <w:r>
              <w:rPr>
                <w:rFonts w:ascii="宋体" w:hAnsi="宋体" w:eastAsia="宋体" w:cs="宋体"/>
                <w:color w:val="000000"/>
                <w:sz w:val="21"/>
              </w:rPr>
              <w:t>产品9N21511D自成立日以来，累计净值增长率为1.1750%，年化累计净值增长率为2.2454%。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903,367,387.14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189,921,249.41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572,636,749.65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9N21511D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140,809,388.08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兴银理财稳利恒盈ESG两年定期开放1号固收类理财产品2023年第一季度报告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兴银理财稳利恒盈ESG两年定期开放1号固收类理财产品2023年第一季度报告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22云南能源02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141,063,906.03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粤开证券卓粤9号收益凭证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101,275,100.00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80,963,404.93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50,011,055.57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21烟台业达MTN001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41,650,689.32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21西城02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41,297,208.77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21常城建PPN003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41,031,789.04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40,477,420.82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19淄博城运MTN001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40,414,960.00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21先行控股PPN002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30,954,478.36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21常德经建MTN002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21江北新区PPN004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22高淳建设MTN001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22泉州文旅MTN001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22三亚旅投MTN001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兴银理财稳利恒盈ESG两年定期开放1号固收类理财产品2023年第一季度报告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051010100101475536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兴银理财稳利恒盈ESG两年定期开放1号固收类理财产品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0EAA7D67"/>
    <w:rsid w:val="17E74447"/>
    <w:rsid w:val="4C2E7158"/>
    <w:rsid w:val="5F1056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2023-04-21T01:10:03Z</dcterms:created>
  <dc:creator>cib</dc:creator>
  <cp:lastModifiedBy>cib</cp:lastModifiedBy>
  <dcterms:modified xsi:type="dcterms:W3CDTF">2023-04-21T01:12:52Z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