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3,837,927,724.00份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报告期内，9TTB0003七日年化收益率均值2.5830%。同期业绩比较基准如下：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0.6572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2.5050%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3,837,927,724.00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1-2月处于经济数据的空窗期，市场对于疫后经济复苏的预期较强，进入3月后，两会确定全年增长目标为5%左右，随着经济数据和金融数据的发布，交易重心由强复苏预期转为弱预期和弱现实。受到银行信贷投放加速叠加税期影响，资金面波动较大且对央行投放依赖度增加，后3月17日央行降准补充中长期流动性，缓解了市场对于货币政策收紧的担忧。一季度债市整体处于窄幅波动状态， 10年国债在2.81-2.93%区间震荡，短端1年国债利率上行至2.33%随后回落，信用债表现强于利率债，信用利差重回低位。</w:t>
              <w:br/>
              <w:t xml:space="preserve">    展望后市，二季度为经济数据验证期，低基数下同比增速无虞但环比可能放缓，外需受海外衰退担忧和去库存周期影响继续弱势，内需内生动力仍然较弱但边际向好，消费结构性回暖、地产数据有所改善但修复仍需时日。“不大干快上”定调下通胀风险无需过度关注，警惕增量刺激政策出台和监管扰动。前期降准后流动性有望维持稳定，但受税期和高杠杆率影响时点波动可能仍然存在。短期信用债配置价值边际弱化，但受供需格局和资金面预期影响利差可能继续压缩。</w:t>
              <w:br/>
              <w:br/>
              <w:t xml:space="preserve">二 前期运作回顾</w:t>
              <w:br/>
              <w:t xml:space="preserve">    报告期内，本产品始终将保持流动性安全和防范信用风险作为第一要务，在此基础上通过稳健的投资风格实现相对稳定的收益。鉴于一季度短端利率在理财赎回风波和复苏预期下配置价值凸显，本产品在平衡负债波动的前提下适当加大了中高等级信用债、ABS、同业存单、存放同业等票息资产的构建力度，同时维持中性偏短杠杆水平增厚组合收益。</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t xml:space="preserve">三 后期投资策略</w:t>
              <w:br/>
              <w:t xml:space="preserve">    二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工行广州定期存款20230131014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301,405,479.60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251,036,596.96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151,443,750.00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工行惠州定期存款20230316006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150,187,397.28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100,890,694.31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100,785,555.78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100,616,328.77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100,589,500.18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100,387,000.18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91,668,235.91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22一汽租赁CP002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