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兴银理财添利天天宝4号净值型理财产品2023年第一季度报告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兴银理财添利天天宝4号净值型理财产品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兴银理财添利天天宝4号净值型理财产品2023年第一季度报告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br/>
              <w:t xml:space="preserve">     7. 影响理财份额投资人决策的其他重要信息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兴银理财添利天天宝4号净值型理财产品2023年第一季度报告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兴银理财添利天天宝4号净值型理财产品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9TTB0004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Z7002022000005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3,836,181,549.81份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通知存款七天+浮动基数0%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800"/>
        <w:gridCol w:w="600"/>
        <w:gridCol w:w="2000"/>
        <w:gridCol w:w="2000"/>
        <w:gridCol w:w="800"/>
        <w:gridCol w:w="2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兴银理财添利天天宝4号净值型理财产品2023年第一季度报告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center"/>
          </w:tcPr>
          <w:p>
            <w:pPr>
              <w:ind w:firstLine="0"/>
              <w:spacing w:lineRule="exact" w:line="320" w:after="0" w:before="0"/>
            </w:pPr>
            <w:r>
              <w:rPr>
                <w:rFonts w:ascii="宋体" w:hAnsi="宋体" w:eastAsia="宋体" w:cs="宋体"/>
                <w:color w:val="000000"/>
                <w:sz w:val="21"/>
              </w:rPr>
              <w:t xml:space="preserve">报告期内，9TTB0004七日年化收益率均值2.5840%。同期业绩比较基准如下：</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000"/>
              <w:gridCol w:w="4000"/>
              <w:gridCol w:w="46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适用期间</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业绩比较基准</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9TTB0004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2023-01-01至2023-03-31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rPr>
              <w:t xml:space="preserve">报告期末，产品收益具体如下：</w:t>
            </w: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万份收益</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七日年化收益率</w:t>
            </w: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0.6566</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2.5100%</w:t>
            </w: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3,836,181,549.81</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陈施颖女士，清华大学理学学士、金融学硕士，中级经济师，8年固定收益市场投资交易经验。2013年加入兴业银行，历任货币市场交易员、债券投资经理、理财产品组合投资经理，2020年加入兴银理财，担任现金管理投资经理，善于大组合的资产配置和流动性管理。现任“兴业银行金雪球添利快线净值型理财产品”、兴业银行-添利1号”净值型理财产品、兴业银行现金宝（1号）人民币理财计划、兴银理财添利8号净值型理财产品、兴银理财日日新1号净值型理财产品、添利天天宝系列投资经理。</w:t>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7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 宏观经济及市场情况</w:t>
              <w:br/>
              <w:t xml:space="preserve">    1-2月处于经济数据的空窗期，市场对于疫后经济复苏的预期较强，进入3月后，两会确定全年增长目标为5%左右，随着经济数据和金融数据的发布，交易重心由强复苏预期转为弱预期和弱现实。受到银行信贷投放加速叠加税期影响，资金面波动较大且对央行投放依赖度增加，后3月17日央行降准补充中长期流动性，缓解了市场对于货币政策收紧的担忧。一季度债市整体处于窄幅波动状态， 10年国债在2.81-2.93%区间震荡，短端1年国债利率上行至2.33%随后回落，信用债表现强于利率债，信用利差重回低位。</w:t>
              <w:br/>
              <w:t xml:space="preserve">    展望后市，二季度为经济数据验证期，低基数下同比增速无虞但环比可能放缓，外需受海外衰退担忧和去库存周期影响继续弱势，内需内生动力仍然较弱但边际向好，消费结构性回暖、地产数据有所改善但修复仍需时日。“不大干快上”定调下通胀风险无需过度关注，警惕增量刺激政策出台和监管扰动。前期降准后流动性有望维持稳定，但受税期和高杠杆率影响时点波动可能仍然存在。短期信用债配置价值边际弱化，但受供需格局和资金面预期影响利差可能继续压缩。</w:t>
              <w:br/>
              <w:br/>
              <w:t xml:space="preserve">二 前期运作回顾</w:t>
              <w:br/>
              <w:t xml:space="preserve">    报告期内，本产品始终将保持流动性安全和防范信用风险作为第一要务，在此基础上通过稳健的投资风格实现相对稳定的收益。鉴于一季度短端利率在理财赎回风波和复苏预期下配置价值凸显，本产品在平衡负债波动的前提下适当加大了中高等级信用债、ABS、同业存单、存放同业等票息资产的构建力度，同时维持中性偏短杠杆水平增厚组合收益。</w:t>
              <w:br/>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兴银理财添利天天宝4号净值型理财产品2023年第一季度报告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br/>
              <w:t xml:space="preserve">三 后期投资策略</w:t>
              <w:br/>
              <w:t xml:space="preserve">    二季度，本产品仍然会坚持以安全性和流动性优先、兼顾收益性的稳健策略，综合考量各类资产的风险收益特征，根据市场情况灵活把握投资节奏。结合负债端情况提前布局产品流动性，保障产品运作安全。同时，我们会按照《关于规范现金管理类理财产品管理有关事项的通知》的相关要求，持续动态监控产品投资组合，保障产品合规、平稳地运作。</w:t>
              <w:br/>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报告期末本产品总资产未超过该产品净资产规模的120%，符合产品协议对本产品杠杆比例的要求。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2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工行广州定期存款20230131015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301,405,479.60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7.86</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兴银理财添利天天宝4号净值型理财产品2023年第一季度报告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54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Z存放同业（线上）20230201011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251,036,596.96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Z存放同业（线上）20221018015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151,443,750.00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工行惠州定期存款20230316007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150,187,397.28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Z存放同业（线上）20221201008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100,890,694.31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Z存放同业20221221004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100,785,555.78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23CSFD46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100,616,328.77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Z存放同业（线上）20230110012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100,589,500.18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Z存放同业（线上）20230206011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100,387,000.18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兴业银行活期存款（北京）</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90,224,889.01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2.35</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78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18青城03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20常城建PPN002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20常高新PPN001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20江宁国资PPN001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16,670,000.00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20浙国贸MTN001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21晋能电力MTN009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22常城建SCP012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22常德城投SCP003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22辽成大CP002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22荣盛SCP004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22四川路桥CP002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26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兴银理财添利天天宝4号净值型理财产品2023年第一季度报告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22厦路桥SCP007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22象屿SCP009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22一汽租赁CP002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22悦汇ABN003优先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23即墨城投CP001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兴业银行活期存款（上海）（约期）-3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兴业银行活期存款（北京）</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9,016.00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Z存放同业（线上）20220412006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051010100101332974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兴银理财添利天天宝4号净值型理财产品</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7.影响理财份额投资人决策的其他重要信息</w:t>
            </w: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0"/>
              </w:rPr>
              <w:t xml:space="preserve"> 7.1报告期内单一投资者持有产品份额达到或者超过该产品总份额20%的情形</w:t>
            </w:r>
          </w:p>
        </w:tc>
        <w:tc>
          <w:tcPr>
     </w:tcPr>
          <w:p>
            <w:pPr>
              <w:pStyle w:val="EMPTY_CELL_STYLE"/>
            </w:pPr>
          </w:p>
        </w:tc>
      </w:tr>
      <w:tr>
        <w:trPr>
          <w:trHeight w:hRule="exact" w:val="600"/>
        </w:trPr>
        <w:tc>
          <w:tcPr>
     </w:tcPr>
          <w:p>
            <w:pPr>
              <w:pStyle w:val="EMPTY_CELL_STYLE"/>
            </w:pPr>
          </w:p>
        </w:tc>
        <w:tc>
          <w:tcPr>
            <w:gridSpan w:val="8"/>
            <w:tcMar>
              <w:top w:w="0" w:type="dxa"/>
              <w:left w:w="0" w:type="dxa"/>
              <w:bottom w:w="0" w:type="dxa"/>
              <w:right w:w="0" w:type="dxa"/>
            </w:tcMar>
          </w:tcPr>
          <w:tbl>
            <w:tblPr>
              <w:tblLayout w:type="fixed"/>
            </w:tblPr>
            <w:tblGrid>
              <w:gridCol w:w="11000"/>
              <w:gridCol w:w="11000"/>
            </w:tblGrid>
            <w:tr>
              <w:trPr>
                <w:trHeight w:hRule="exact" w:val="600"/>
              </w:trPr>
              <w:tc>
                <w:tcPr>
                  <w:shd w:val="clear" w:color="auto" w:fill="FFFFFF"/>
                  <w:tcMar>
                    <w:top w:w="0" w:type="dxa"/>
                    <w:left w:w="0" w:type="dxa"/>
                    <w:bottom w:w="0" w:type="dxa"/>
                    <w:right w:w="0" w:type="dxa"/>
                  </w:tcMar>
                </w:tcPr>
                <w:tbl>
                  <w:tblPr>
                    <w:tblLayout w:type="fixed"/>
                  </w:tblPr>
                  <w:tblGrid>
                    <w:gridCol w:w="11000"/>
                    <w:gridCol w:w="11000"/>
                  </w:tblGrid>
                  <w:tr>
                    <w:trPr>
                      <w:trHeight w:hRule="atLeast" w:val="600"/>
                    </w:trPr>
                    <w:tc>
                      <w:tcPr>
                        <w:tcMar>
                          <w:top w:w="0" w:type="dxa"/>
                          <w:left w:w="0" w:type="dxa"/>
                          <w:bottom w:w="0" w:type="dxa"/>
                          <w:right w:w="0" w:type="dxa"/>
                        </w:tcMar>
                        <w:vAlign w:val="center"/>
                      </w:tcPr>
                      <w:p>
                        <w:pPr>
                          <w:ind/>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EMPTY_CELL_STYLE"/>
                  </w:pPr>
                </w:p>
              </w:tc>
            </w:tr>
          </w:tbl>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c>
          <w:tcPr>
     </w:tcPr>
          <w:p>
            <w:pPr>
              <w:pStyle w:val="EMPTY_CELL_STYLE"/>
            </w:pPr>
          </w:p>
        </w:tc>
      </w:tr>
      <w:tr>
        <w:trPr>
          <w:trHeight w:hRule="exact" w:val="1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3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