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兴银理财添利天天宝6号净值型理财产品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3,796,069,957.37份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报告期内，9TTB0006七日年化收益率均值2.5903%。同期业绩比较基准如下：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0.6557</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2.5090%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3,796,069,957.37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t xml:space="preserve">二 前期运作回顾</w:t>
              <w:br/>
              <w:t xml:space="preserve">    报告期内，本产品始终将保持流动性安全和防范信用风险作为第一要务，在此基础上通过稳健的投资风格实现相对稳定的收益。鉴于一季度短端利率在理财赎回风波和复苏预期下配置价值凸显，本产品在平衡负债波动的前提下适当加大了中高等级信用债、ABS、同业存单、存放同业等票息资产的构建力度，同时维持中性偏短杠杆水平增厚组合收益。</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t xml:space="preserve">三 后期投资策略</w:t>
              <w:b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工行广州定期存款20230131017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301,405,479.60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5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251,036,596.96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工行惠州定期存款20230316009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150,187,397.28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120,741,935.60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100,890,694.31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100,793,333.56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100,589,500.18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100,387,000.18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51,082,204.81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051010100101333147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兴银理财添利天天宝6号净值型理财产品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