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兴银理财万汇通1号A款美元净值型理财产品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3,017,477.67份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产品9W210010自成立日以来，累计净值增长率为2.1770%，年化累计净值增长率为1.0360%。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1.00484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1.02177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3,032,092.68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本产品配置资产均为中资离岸投资级债券）。全球债市价格较去年四季度更大幅上涨。受硅谷事件影响，美国衰退预期抬升，无风险收益率受此影响下行较多，理财产品受利息下行利好净值快速上升。</w:t>
              <w:br/>
              <w:t xml:space="preserve">    产品净值于去年四季度触底反弹，于一季度打开后新的周期运作情况良好，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Z外币存放20230303001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863,644.14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844,740.80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248,884.38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248,304.17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247,587.50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225,634.38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bl>
          <w:p>
            <w:pPr>
              <w:pStyle w:val="EMPTY_CELL_STYLE"/>
            </w:pPr>
          </w:p>
        </w:tc>
        <w:tc>
          <w:tcPr>
     </w:tcPr>
          <w:p>
            <w:pPr>
              <w:pStyle w:val="EMPTY_CELL_STYLE"/>
            </w:pPr>
          </w:p>
        </w:tc>
      </w:tr>
      <w:tr>
        <w:trPr>
          <w:trHeight w:hRule="exact" w:val="5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