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兴银理财万汇通1号I款美元净值型理财产品2023年第一季度报告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兴银理财万汇通1号I款美元净值型理财产品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兴银理财万汇通1号I款美元净值型理财产品2023年第一季度报告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兴银理财万汇通1号I款美元净值型理财产品2023年第一季度报告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兴银理财万汇通1号I款美元净值型理财产品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9W210090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Z7002021000176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24,457,056.58份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万汇通汇盈1号I款A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9W21009A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15,953,916.96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万汇通汇盈1号I款B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9W21009B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8,503,139.62</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兴银理财万汇通1号I款美元净值型理财产品2023年第一季度报告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产品9W21009A自成立日以来，累计净值增长率为0.0910%，年化累计净值增长率为0.0557%。</w:t>
              <w:br/>
              <w:t xml:space="preserve">产品9W21009B自成立日以来，累计净值增长率为0.1370%，年化累计净值增长率为0.0839%。</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0.99660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24,373,842.19</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0.99660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15,899,621.87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0.99660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8,474,220.32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一季度全球债市企稳反弹，无风险收益率较年初下行。美国国债整体收益率3.00%、美国投资级债券收益率2.96%、欧元计价投资级债券收益率2.09%、全球投资级债券收益率3.01%、中资离岸投资级债券收益率2.66%（本产品配置资产均为中资离岸投资级债券）。全球债市价格较去年四季度更大幅上涨。受硅谷事件影响，美国衰退预期抬升，无风险收益率受此影响下行较多，理财产品受利息下行利好净值快速上升。</w:t>
              <w:br/>
              <w:t xml:space="preserve">    2月收益率阶段性上行，择机配置高收益率资产，并维持久期中性策略。 </w:t>
              <w:br/>
              <w:t xml:space="preserve">    展望后市，市场持续处于震荡市，存在宽幅震荡的可能，整体维持久期中性，部分仓位择机波段交易，稳中求进。  </w:t>
              <w:br/>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兴银理财万汇通1号I款美元净值型理财产品2023年第一季度报告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Z存放同业20230118004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2,171,176.07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2,119,349.00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IDINOS4.407/11/23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1,940,104.62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ICBCAS511/16/23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1,903,211.20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1,658,671.83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QDHTCO2.9803/04/24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1,589,238.75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ZZAIRI3.406/17/23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1,353,054.00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YWSOAO3.1508/11/23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1,341,906.75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TYLCDI3.706/26/23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1,198,504.67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4.92</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兴银理财万汇通1号I款美元净值型理财产品2023年第一季度报告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NNCOMM3.505/27/24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1,059,270.00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4.35</w:t>
                        </w:r>
                      </w:p>
                    </w:tc>
                  </w:tr>
                </w:tbl>
                <w:p>
                  <w:pPr>
                    <w:pStyle w:val="EMPTY_CELL_STYLE"/>
                  </w:pPr>
                </w:p>
              </w:tc>
            </w:tr>
          </w:tbl>
          <w:p>
            <w:pPr>
              <w:pStyle w:val="EMPTY_CELL_STYLE"/>
            </w:pPr>
          </w:p>
        </w:tc>
        <w:tc>
          <w:tcPr>
     </w:tcPr>
          <w:p>
            <w:pPr>
              <w:pStyle w:val="EMPTY_CELL_STYLE"/>
            </w:pPr>
          </w:p>
        </w:tc>
      </w:tr>
      <w:tr>
        <w:trPr>
          <w:trHeight w:hRule="exact" w:val="1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Z存放同业20230118004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216201400100274182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兴银理财万汇通1号I款美元净值型理财产品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3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