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兴业银行现金宝（1号）人民币理财计划</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5"/>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rPr>
          <w:gridAfter w:val="5"/>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5"/>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rPr>
          <w:gridAfter w:val="5"/>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兴业银行现金宝（1号）人民币理财计划</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07010011</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Z7002021000253</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69,319,403,046.44份</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5"/>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报告期内，07010011七日年化收益率均值2.5030%。同期业绩比较基准如下：</w:t>
            </w:r>
          </w:p>
        </w:tc>
        <w:tc>
          <w:p>
            <w:pPr>
              <w:pStyle w:val="4"/>
            </w:pPr>
          </w:p>
        </w:tc>
      </w:tr>
      <w:tr>
        <w:tblPrEx>
          <w:tblCellMar>
            <w:top w:w="0" w:type="dxa"/>
            <w:left w:w="10" w:type="dxa"/>
            <w:bottom w:w="0" w:type="dxa"/>
            <w:right w:w="10" w:type="dxa"/>
          </w:tblCellMar>
        </w:tblPrEx>
        <w:trPr>
          <w:gridAfter w:val="5"/>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rPr>
          <w:gridAfter w:val="5"/>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2023-01-01至2023-03-31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rPr>
          <w:gridAfter w:val="5"/>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0.5874</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2.4590%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69,319,403,046.44</w:t>
            </w:r>
          </w:p>
        </w:tc>
        <w:tc>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r>
            <w:r>
              <w:rPr>
                <w:rFonts w:ascii="宋体" w:hAnsi="宋体" w:eastAsia="宋体" w:cs="宋体"/>
                <w:color w:val="000000"/>
                <w:sz w:val="21"/>
              </w:rPr>
              <w:br w:type="textWrapping"/>
            </w:r>
            <w:r>
              <w:rPr>
                <w:rFonts w:ascii="宋体" w:hAnsi="宋体" w:eastAsia="宋体" w:cs="宋体"/>
                <w:color w:val="000000"/>
                <w:sz w:val="21"/>
              </w:rP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产品规模整体下降，季度末赎回压力较大。本产品结合自身负债情况，兼顾产品收益、资产合理配置、杠杆和久期情况，抓住市场机会逢高建仓，在1-2月份适度增加信用债配置力度，在2月末3月初适度增加同业存单、存放同业等同业类资产的配置力度。同时，本产品提前安排季末流动性兑付计划，合理利用正逆回购工</w:t>
            </w: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具，</w:t>
            </w:r>
            <w:bookmarkStart w:id="9" w:name="_GoBack"/>
            <w:bookmarkEnd w:id="9"/>
            <w:r>
              <w:rPr>
                <w:rFonts w:ascii="宋体" w:hAnsi="宋体" w:eastAsia="宋体" w:cs="宋体"/>
                <w:color w:val="000000"/>
                <w:sz w:val="21"/>
              </w:rPr>
              <w:t>抓住机会增厚产品收益。</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3"/>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36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报告期末本产品总资产未超过该产品净资产规模的120%，符合产品协议对本产品杠杆比例的要求。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5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12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农业银行昆明分行活期存款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3,807,506,666.67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3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p>
            <w:pPr>
              <w:pStyle w:val="4"/>
            </w:pPr>
          </w:p>
        </w:tc>
      </w:tr>
      <w:tr>
        <w:trPr>
          <w:gridAfter w:val="5"/>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540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兴业银行活期存款（北京）</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3,101,472,499.98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存放同业20220916006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1,010,780,277.34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Z存放同业（线上）20221018002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1,009,624,999.45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Z存放同业20230111007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1,005,822,222.40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Z存放同业（线上）20230130006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1,004,320,833.13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Z存放同业（线上）20230201007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1,004,146,389.02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Z存放同业（线上）20230215005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1,003,249,999.90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Z存放同业（线上）20230315002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1,001,312,777.74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22江苏银行CD153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889,900,819.71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trHeight w:val="7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18滁州城投MTN001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18华润置地MTN002B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18冀港集MTN002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18闽漳龙MTN001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18余姚城投MTN002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18豫交投MTN001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46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18中国航材MTN001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20东方债02BC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20济南高新PPN001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20江北新区MTN002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20南京医药MTN002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20南通沿海MTN001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20平安不动MTN002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20陕延油MTN003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20天成租赁GN002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20中交城投MTN002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21鄂长投MTN001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21发展01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21广州资管MTN001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21湘高速MTN001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7" w:name="JR_PAGE_ANCHOR_0_8"/>
            <w:bookmarkEnd w:id="7"/>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13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22百业源CP001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22常城建SCP012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22济南高新SCP008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22九江银行CD140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22明珠悦汇ABN004优先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22宁河西CP002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22锡产业SCP019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22厦路桥SCP007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22象屿G1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22象屿SCP009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22远东绿色ABN002优先A1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13,188,000.00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22悦汇ABN003优先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23桂投资CP001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23即墨城投CP001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23晋交投SCP001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23九江银行CD041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23湘建工SCP001(科创票据)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23象屿股份SCP001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23象屿股份SCP008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trHeight w:val="4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8" w:name="JR_PAGE_ANCHOR_0_9"/>
            <w:bookmarkEnd w:id="8"/>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兴业银行现金宝（1号）人民币理财计划2023年第一季度报告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22交通银行CD196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云南红塔银行股份有限公司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07010011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兴业银行活期存款（北京）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051010100100004465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0363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2023-04-21T01:25:24Z</dcterms:created>
  <dc:creator>cib</dc:creator>
  <cp:lastModifiedBy>cib</cp:lastModifiedBy>
  <dcterms:modified xsi:type="dcterms:W3CDTF">2023-04-21T01:27:25Z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