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5"/>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兴业银行“现金宝4号”私人银行类人民币理财产品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5"/>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rPr>
          <w:gridAfter w:val="5"/>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rPr>
          <w:gridAfter w:val="5"/>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5"/>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5"/>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rPr>
          <w:gridAfter w:val="5"/>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兴业银行“现金宝4号”私人银行类人民币理财产品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84212041</w:t>
            </w:r>
          </w:p>
        </w:tc>
        <w:tc>
          <w:p>
            <w:pPr>
              <w:pStyle w:val="4"/>
            </w:pPr>
          </w:p>
        </w:tc>
      </w:tr>
      <w:tr>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Z7002021000250</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66,582,867,655.85份</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5"/>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rPr>
          <w:gridAfter w:val="5"/>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rPr>
          <w:gridAfter w:val="5"/>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报告期内，84212041七日年化收益率均值2.5349%。同期业绩比较基准如下：</w:t>
            </w:r>
          </w:p>
        </w:tc>
        <w:tc>
          <w:p>
            <w:pPr>
              <w:pStyle w:val="4"/>
            </w:pPr>
          </w:p>
        </w:tc>
      </w:tr>
      <w:tr>
        <w:trPr>
          <w:gridAfter w:val="5"/>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2023-01-01至2023-03-31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0.7174</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2.4730%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66,582,867,655.85</w:t>
            </w:r>
          </w:p>
        </w:tc>
        <w:tc>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rPr>
          <w:gridAfter w:val="5"/>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r>
            <w:r>
              <w:rPr>
                <w:rFonts w:ascii="宋体" w:hAnsi="宋体" w:eastAsia="宋体" w:cs="宋体"/>
                <w:color w:val="000000"/>
                <w:sz w:val="21"/>
              </w:rPr>
              <w:br w:type="textWrapping"/>
            </w:r>
            <w:r>
              <w:rPr>
                <w:rFonts w:ascii="宋体" w:hAnsi="宋体" w:eastAsia="宋体" w:cs="宋体"/>
                <w:color w:val="000000"/>
                <w:sz w:val="21"/>
              </w:rP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本产品始终将保持流动性安全和防范信用风险作为第一要务，在此基础上通过稳健的投资风格实现相对有竞争力的收益。</w:t>
            </w:r>
            <w:r>
              <w:rPr>
                <w:rFonts w:ascii="宋体" w:hAnsi="宋体" w:eastAsia="宋体" w:cs="宋体"/>
                <w:color w:val="000000"/>
                <w:sz w:val="21"/>
              </w:rPr>
              <w:br w:type="textWrapping"/>
            </w:r>
            <w:r>
              <w:rPr>
                <w:rFonts w:ascii="宋体" w:hAnsi="宋体" w:eastAsia="宋体" w:cs="宋体"/>
                <w:color w:val="000000"/>
                <w:sz w:val="21"/>
              </w:rPr>
              <w:t xml:space="preserve">    报告期内，产品费率从2月中旬开始调升，导致规模彼时起出现较为明显的下降，特别是季度末，净赎回压力较大。因此，本产品根据自身负债情况，在1、2月份增加了同业存单和信用债配置力度，而在3月由于资金价格抬</w:t>
            </w:r>
          </w:p>
        </w:tc>
        <w:tc>
          <w:p>
            <w:pPr>
              <w:pStyle w:val="4"/>
            </w:pPr>
          </w:p>
        </w:tc>
      </w:tr>
      <w:tr>
        <w:trPr>
          <w:gridAfter w:val="5"/>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升，</w:t>
            </w:r>
            <w:bookmarkStart w:id="9" w:name="_GoBack"/>
            <w:bookmarkEnd w:id="9"/>
            <w:r>
              <w:rPr>
                <w:rFonts w:ascii="宋体" w:hAnsi="宋体" w:eastAsia="宋体" w:cs="宋体"/>
                <w:color w:val="000000"/>
                <w:sz w:val="21"/>
              </w:rPr>
              <w:t>大行缺负债的前提下，将较为有限的配置资金配置于高收益的同业存放资产，保证了产品收益的竞争力。同时，三月月初起，就在交易所、银行间融入大量跨月资金，提前做好产品流动性安排，努力应付产品赎回。</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仍然会坚持以安全性和流动性优先、兼顾收益性的稳健策略，综合考量各类资产的风险收益特征，根据市场情况灵活把握投资节奏。同时，我们依然要紧盯负债稳定性提前做好流动性预判；此外，同业竞品的收益情况也颇为重要，努力保证我司现金产品收益的竞争力。</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3"/>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3"/>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3"/>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3"/>
          <w:trHeight w:val="5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rPr>
          <w:gridAfter w:val="3"/>
          <w:trHeight w:val="12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农业银行昆明分行活期存款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4,708,074,666.67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540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2,005,980,821.92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Z存放同业（线上）20230119004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1,507,650,000.00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工行杭州定期存款20230131004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1,507,027,397.40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1,506,219,583.53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1,506,008,750.19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Z存放同业20230111002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1,005,822,222.40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Z存放同业（线上）20230129004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1,004,391,666.46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Z存放同业（线上）20230214020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1,003,450,000.00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Z存放同业（线上）20230213007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1,003,394,444.34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trHeight w:val="7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16龙城投资MTN001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18沪临港MTN001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18冀港集MTN001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19陕投集团MTN001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6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rPr>
          <w:gridAfter w:val="5"/>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20山高01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20泰州城投PPN003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21山东国惠MTN002A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22杭金投SCP010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22深业SCP004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tcPr>
            <w:gridSpan w:val="4"/>
          </w:tcPr>
          <w:p>
            <w:pPr>
              <w:pStyle w:val="4"/>
            </w:pPr>
          </w:p>
        </w:tc>
        <w:tc>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22左海控股SCP001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23海润城发SCP001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23华阳新材CP002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23临海国投PPN001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23泉州金控SCP001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23中交城投SCP001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rPr>
          <w:trHeight w:val="12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84212041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兴业银行股份有限公司理财产品托管专户（现金宝4号）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8" w:name="JR_PAGE_ANCHOR_0_9"/>
            <w:bookmarkEnd w:id="8"/>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兴业银行“现金宝4号”私人银行类人民币理财产品2023年第一季度报告</w:t>
            </w:r>
          </w:p>
        </w:tc>
        <w:tc>
          <w:p>
            <w:pPr>
              <w:pStyle w:val="4"/>
            </w:pPr>
          </w:p>
        </w:tc>
      </w:tr>
      <w:tr>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2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5"/>
          <w:trHeight w:val="128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ACF7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2023-04-21T01:25:24Z</dcterms:created>
  <dc:creator>cib</dc:creator>
  <cp:lastModifiedBy>cib</cp:lastModifiedBy>
  <dcterms:modified xsi:type="dcterms:W3CDTF">2023-04-21T01:27:07Z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