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兴银理财万利宝聚利2022年第14期净值型理财产品2022年年度报告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兴银理财万利宝聚利2022年第14期净值型理财产品</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兴银理财万利宝聚利2022年第14期净值型理财产品2022年年度报告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兴银理财万利宝聚利2022年第14期净值型理财产品2022年年度报告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兴银理财万利宝聚利2022年第14期净值型理财产品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9K222140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Z7002022A000014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私募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300,000,000份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兴银万利宝聚利2022年第14期A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9K22214A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99,230,000.00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兴银万利宝聚利2022年第14期B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9K22214B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200,770,000.00</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兴银理财万利宝聚利2022年第14期净值型理财产品2022年年度报告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产品9K22214A自成立日以来，累计净值增长率为4.1900%，年化累计净值增长率为4.8705%。</w:t>
              <w:br/>
              <w:t xml:space="preserve">产品9K22214B自成立日以来，累计净值增长率为4.3640%，年化累计净值增长率为5.0728%。</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9K222140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1.02807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1.04307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308,422,145.22</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9K22214A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1.02759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1.04190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101,967,825.89</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9K22214B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1.02831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1.04364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206,454,319.33</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李政博先生，东北财经大学管理学学士，基金从业资格，金融从业9年。2016年加入兴业银行，历任招商银行西宁分行同业部产品经理、兴业银行西宁分行金融市场部产品经理、兴银理财项目投资部投资经理，专注于非标债权投资及资本市场投融资类业务。</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本产品主要投资于固定收益类资产，以持有至到期策略为主。投资标的为海尔集团（青岛）金融控股有限公司2021年度第四期债权融资计划，用于偿还其他金融机构借款。2021/12/31海尔集团（青岛）金融控股有限公司更名为“海尔集团（青岛）金盈控股有限公司”，并进行相关调整。</w:t>
              <w:br/>
              <w:t xml:space="preserve">    截至2022年四季度，投资收益符合预期。  </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26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兴银理财万利宝聚利2022年第14期净值型理财产品2022年年度报告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无</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97.21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17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兴银理财万利宝聚利2022年第14期净值型理财产品2022年年度报告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136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124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22鲁海尔金控ZR002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299,940,273.83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97.25</w:t>
                        </w:r>
                      </w:p>
                    </w:tc>
                  </w:tr>
                </w:tbl>
                <w:p>
                  <w:pPr>
                    <w:pStyle w:val="EMPTY_CELL_STYLE"/>
                  </w:pPr>
                </w:p>
              </w:tc>
            </w:tr>
          </w:tbl>
          <w:p>
            <w:pPr>
              <w:pStyle w:val="EMPTY_CELL_STYLE"/>
            </w:pPr>
          </w:p>
        </w:tc>
        <w:tc>
          <w:tcPr>
     </w:tcPr>
          <w:p>
            <w:pPr>
              <w:pStyle w:val="EMPTY_CELL_STYLE"/>
            </w:pPr>
          </w:p>
        </w:tc>
      </w:tr>
      <w:tr>
        <w:trPr>
          <w:trHeight w:hRule="exact" w:val="7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051010100101331329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兴银理财万利宝聚利2022年第14期净值型理财产品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c>
          <w:tcPr>
     </w:tcPr>
          <w:p>
            <w:pPr>
              <w:pStyle w:val="EMPTY_CELL_STYLE"/>
            </w:pPr>
          </w:p>
        </w:tc>
      </w:tr>
      <w:tr>
        <w:trPr>
          <w:trHeight w:hRule="exact" w:val="9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