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兴银理财万利宝聚利2022年第15期净值型理财产品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兴银理财万利宝聚利2022年第15期净值型理财产品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产品9K222150自成立日以来，累计净值增长率为4.1150%，年化累计净值增长率为5.3262%。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152,727,887.32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本产品主要投资于固定收益类资产，以持有至到期策略为主。投资标的为青岛市即墨区城市开发投资有限公司2022年度第三期理财直接融资工具，用于偿还其他金融机构借款。</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兴银理财万利宝聚利2022年第15期净值型理财产品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