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兴银理财万利宝聚利2022年第19期净值型理财产品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195,260,000.00份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产品9K222190自成立日以来，累计净值增长率为3.9170%，年化累计净值增长率为5.9820%。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1.03917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197,857,190.34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城市建设投资集团有限公司2022年度第五期理财直接融资工具”，该理财直接融资工具融资人为盐城市城市建设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195,765,137.62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