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兴银理财万利宝聚利2022年第20期净值型理财产品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产品9K222200自成立日以来，累计净值增长率为3.8250%，年化累计净值增长率为5.9920%。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1.01270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1.03825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202,539,748.20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城市建设投资集团有限公司2022年度第六期理财直接融资工具”，该理财直接融资工具融资人为盐城市城市建设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