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兴银理财万利宝聚利2022年第30期净值型理财产品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兴银理财万利宝聚利2022年第30期净值型理财产品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产品9K222300自成立日以来，累计净值增长率为3.0210%，年化累计净值增长率为5.8966%。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1.03021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100,545,734.17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国有资产投资集团有限公司2022年度第五期理财直接融资工具”，该理财直接融资工具融资人为盐城市国有资产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兴银理财万利宝聚利2022年第30期净值型理财产品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