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兴银理财增盈稳享封闭式20号固收类理财产品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1,945,911,522.06份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4.95%/4.95%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产品9K240200自成立日以来，累计净值增长率为-0.2070%，年化累计净值增长率为-0.4084%。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0.99793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0.99793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1,941,881,527.70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出现了较大调整，主要是信用债出现了大幅且快速的下跌。组合在债券调整前的债券久期达到2年，杠杆超过150%，回撤较大。展望下一阶段，在人民币阶段性升值确定阶段，一般而言，股票和债券均会有所表现。后续操作方面，权益仓位目前保持4.5%的仓位，债券久期维持在2年。后续一方面调整债券品种，卖出短期内收益下行较多的1-3年高等级信用债，配入产品到期期限内不错配收益较高的债券。权益方面，后续继续看好，等回调后增加仓位到5%的上限。</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本产品聘请毕马威会计师事务所（特殊普通合伙）上海分所依据中国注册会计师审计准则对本产品的财务报表，包括2022年12月31日的资产负债表，自2022年06月30日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188,392,168.00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青租16A2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141,619,104.00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92,120,152.00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85,059,925.00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79,474,196.07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73,148,263.00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60,041,638.45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59,046,120.00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20锡公用MTN001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50,534,750.00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22兴蓉环境MTN001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