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607,985,268.6份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607,985,268.60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产品9K221128自成立日以来，累计净值增长率为2.1080%，年化累计净值增长率为2.6532%。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620,801,046.25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620,801,046.25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本产品聘请毕马威会计师事务所（特殊普通合伙）上海分所依据中国注册会计师审计准则对本产品的财务报表，包括2022年12月31日的资产负债表，自2022年03月17日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180,469,080.00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110,290,070.00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57,963,443.88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50,922,161.62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25,908,000.27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20,101,360.00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20,001,420.00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14,990,990.42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