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兴银理财增盈稳享封闭式33号固收类理财产品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1,818,260,420.34份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1,445,049,609.34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16,417,587.00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356,793,224.00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产品9K24033A自成立日以来，累计净值增长率为0.3820%，年化累计净值增长率为1.4524%。</w:t>
              <w:br/>
              <w:t xml:space="preserve">产品9K24033C自成立日以来，累计净值增长率为0.3170%，年化累计净值增长率为1.2053%。</w:t>
              <w:br/>
              <w:t xml:space="preserve">产品9K24033D自成立日以来，累计净值增长率为0.3560%，年化累计净值增长率为1.3535%。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1,825,108,505.50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1,450,574,668.70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16,469,638.96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358,064,197.84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建信保险资管-浦江粤启2号资产支持计划第4期—万科（深圳分行）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148,682,559.60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中原信托-联捷保理应收账款债权4号（第2期）—华发集团（广州分行）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142,603,225.90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87,998,768.00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宝冶22A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59,059,260.00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22国开行二级资本债01A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