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兴银理财悦动增强2年定期开放1号固收类理财产品2022年年度报告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兴银理财悦动增强2年定期开放1号固收类理财产品</w:t>
              <w:br/>
              <w:t xml:space="preserve">2022年年度报告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报告送出日期：2023年5月15日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兴银理财悦动增强2年定期开放1号固收类理财产品2022年年度报告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审计报告</w:t>
              <w:br/>
              <w:t xml:space="preserve">§ 八.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兴银理财悦动增强2年定期开放1号固收类理财产品2022年年度报告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兴银理财悦动增强2年定期开放1号固收类理财产品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9K310010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Z7002022000308</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262,312,838.93份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4.00%--6.00%/6.00%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兴银悦动增强2年1号A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9K31001A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260,404,566.36</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兴银悦动增强2年1号B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9K31001B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1,908,272.57</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兴银理财悦动增强2年定期开放1号固收类理财产品2022年年度报告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产品9K31001A自成立日以来，累计净值增长率为0.5040%，年化累计净值增长率为0.9837%。</w:t>
              <w:br/>
              <w:t xml:space="preserve">产品9K31001B自成立日以来，累计净值增长率为0.3070%，年化累计净值增长率为0.6791%。</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9K310010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1.00503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1.00503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263,631,965.71</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9K31001A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1.00504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1.00504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261,717,836.43</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9K31001B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1.00307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1.00307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1,914,129.28</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严泓，复旦大学数学系本科+经济学硕士，金融投资专业领域从业12年，具备丰富的多资产领域投资经验和广阔的全球宏观对冲视野。历任国内大型金融机构和顶尖私募对冲基金投资经理、合伙人，独立管理账户和产品超过10年，业绩表现优异。投资理念坚持自上而下和自下而上结合，把握宏观趋势结合微观结构，善于利于基本面和量化策略进行大类资产配置，注重绝对收益。</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2022年是全年发生了很多超预期的宏观利空事件，如俄乌战争、疫情反复、美联储超预期加息、地产持续暴雷等，对于投资的考验较大。本报告期内，本组合积极调整债券持仓，利用利率衍生品对冲久期风险，利用衍生品参与商品、利率等套利操作。本组合净值在本报告期内相对表现较好。</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26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兴银理财悦动增强2年定期开放1号固收类理财产品2022年年度报告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审计报告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480"/>
        </w:trPr>
        <w:tc>
          <w:tcPr>
     </w:tcPr>
          <w:p>
            <w:pPr>
              <w:pStyle w:val="EMPTY_CELL_STYLE"/>
            </w:pPr>
          </w:p>
        </w:tc>
        <w:tc>
          <w:tcPr>
            <w:gridSpan w:val="5"/>
            <w:tcMar>
              <w:top w:w="0" w:type="dxa"/>
              <w:left w:w="0" w:type="dxa"/>
              <w:bottom w:w="0" w:type="dxa"/>
              <w:right w:w="0" w:type="dxa"/>
            </w:tcMar>
            <w:vAlign w:val="center"/>
          </w:tcPr>
          <w:p>
            <w:pPr>
              <w:ind/>
              <w:jc w:val="left"/>
              <w:spacing w:lineRule="exact" w:line="320" w:after="0" w:before="0"/>
            </w:pPr>
            <w:r>
              <w:rPr>
                <w:rFonts w:ascii="宋体" w:hAnsi="宋体" w:eastAsia="宋体" w:cs="宋体"/>
                <w:color w:val="000000"/>
                <w:sz w:val="21"/>
              </w:rPr>
              <w:br/>
              <w:t xml:space="preserve">   本产品聘请毕马威会计师事务所（特殊普通合伙）上海分所依据中国注册会计师审计准则对本产品的财务报表，包括2022年12月31日的资产负债表，自2022年06月28日 (成立日) 至2022年12月31日止期间的利润表和理财产品净值变动表以及相关财务报表附注进行了审计，并出具审计报告。</w:t>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八.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4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6.22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13.43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26.53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26.53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47.21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49.11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其他类资产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9.17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10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兴银理财悦动增强2年定期开放1号固收类理财产品2022年年度报告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15.17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30,000,165.00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11.38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南方基金兴元海外1号集合资产管理计划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26,730,719.86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兴业期货-兴合3号集合资产管理计划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10,522,067.88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20金龙湖PPN001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10,123,560.00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21兵建01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10,102,390.00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21国君G8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10,066,670.00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21深高01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10,039,000.00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21厦贸01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10,025,850.00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20成都香城MTN001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10,012,520.00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3.80</w:t>
                        </w:r>
                      </w:p>
                    </w:tc>
                  </w:tr>
                </w:tbl>
                <w:p>
                  <w:pPr>
                    <w:pStyle w:val="EMPTY_CELL_STYLE"/>
                  </w:pPr>
                </w:p>
              </w:tc>
            </w:tr>
          </w:tbl>
          <w:p>
            <w:pPr>
              <w:pStyle w:val="EMPTY_CELL_STYLE"/>
            </w:pPr>
          </w:p>
        </w:tc>
        <w:tc>
          <w:tcPr>
     </w:tcPr>
          <w:p>
            <w:pPr>
              <w:pStyle w:val="EMPTY_CELL_STYLE"/>
            </w:pPr>
          </w:p>
        </w:tc>
      </w:tr>
      <w:tr>
        <w:trPr>
          <w:trHeight w:hRule="exact" w:val="22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兴银理财悦动增强2年定期开放1号固收类理财产品2022年年度报告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30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9K310010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18海尔金控MTN001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9K310010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20水发集团MTN001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9K310010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21新投MTN001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9K310010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22中国信达债01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24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9K310010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兴业期货-兴合3号集合资产管理计划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0.40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9K310010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兴业期货-兴合4号集合资产管理计划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0.19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9K310010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兴业期货-兴合1号集合资产管理计划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0.26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051010100101432156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兴银理财悦动增强2年定期开放1号固收类理财产品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2023年5月15日</w:t>
            </w:r>
          </w:p>
        </w:tc>
        <w:tc>
          <w:tcPr>
     </w:tcPr>
          <w:p>
            <w:pPr>
              <w:pStyle w:val="EMPTY_CELL_STYLE"/>
            </w:pPr>
          </w:p>
        </w:tc>
        <w:tc>
          <w:tcPr>
     </w:tcPr>
          <w:p>
            <w:pPr>
              <w:pStyle w:val="EMPTY_CELL_STYLE"/>
            </w:pPr>
          </w:p>
        </w:tc>
      </w:tr>
      <w:tr>
        <w:trPr>
          <w:trHeight w:hRule="exact" w:val="2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