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兴银理财兴承恒享稳盈11号净值型理财产品2022年年度报告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兴银理财兴承恒享稳盈11号净值型理财产品</w:t>
              <w:br/>
              <w:t xml:space="preserve">2022年年度报告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报告送出日期：2023年5月15日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兴银理财兴承恒享稳盈11号净值型理财产品2022年年度报告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兴银理财兴承恒享稳盈11号净值型理财产品2022年年度报告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兴银理财兴承恒享稳盈11号净值型理财产品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9K510210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Z7002021A000241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私募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247,431,923.81份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2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兴银兴承恒享稳盈11号A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9K51021A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247,431,923.81</w:t>
                        </w:r>
                      </w:p>
                    </w:tc>
                  </w:tr>
                </w:tbl>
                <w:p>
                  <w:pPr>
                    <w:pStyle w:val="EMPTY_CELL_STYLE"/>
                  </w:pPr>
                </w:p>
              </w:tc>
            </w:tr>
          </w:tbl>
          <w:p>
            <w:pPr>
              <w:pStyle w:val="EMPTY_CELL_STYLE"/>
            </w:pPr>
          </w:p>
        </w:tc>
        <w:tc>
          <w:tcPr>
     </w:tcPr>
          <w:p>
            <w:pPr>
              <w:pStyle w:val="EMPTY_CELL_STYLE"/>
            </w:pPr>
          </w:p>
        </w:tc>
      </w:tr>
      <w:tr>
        <w:trPr>
          <w:trHeight w:hRule="exact" w:val="1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兴银理财兴承恒享稳盈11号净值型理财产品2022年年度报告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产品9K51021A自成立日以来，累计净值增长率为2.4070%，年化累计净值增长率为2.1800%。</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9K510210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0.99235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1.02407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245,537,895.97</w:t>
                        </w:r>
                      </w:p>
                    </w:tc>
                  </w:tr>
                </w:tbl>
                <w:p>
                  <w:pPr>
                    <w:pStyle w:val="EMPTY_CELL_STYLE"/>
                  </w:pPr>
                </w:p>
              </w:tc>
            </w:tr>
          </w:tbl>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9K51021A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0.99235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1.02407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245,537,895.97</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金晶女士，现任兴银理财专户投资部负责人，专户投资总监。毕业于对外经济贸易大学金融学硕士，拥有15年固定收益投资经验，于2007年加入兴业银行，历任兴业银行资金营运中心债券交易员、兴业银行资产管理部债券投资经理，投资团队主管。目前管理包括“稳利”系列开放式产品、多家大型企金专户定制产品，产品管理规模超过400亿，得到客户高度认可。具有丰富的固定收益产品管理经验，风格稳健，对宏观及利率走势有较为深入的研判，擅长根据市场研判灵活运用多种投资策略，业绩优异。</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32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一、2022年市场回顾与产品投资策略</w:t>
              <w:br/>
              <w:t xml:space="preserve">1、市场回顾</w:t>
              <w:br/>
              <w:t xml:space="preserve">    2022年债券市场表现一波三折，债券收益率呈现“W”型走势。一季度，疫情冲击影响显现，基本面压力增大，央行果断降息10bp，债市做多热情高涨，债券收益率大幅下行。2月至3月，俄乌冲突爆发、海外加息预期升温，权益市场大幅调整，“固收+”产品赎回引发流动性冲击，债券收益率迅速上行。</w:t>
              <w:br/>
              <w:t xml:space="preserve">    二季度，上海等多个城市疫情爆发蔓延，社融信贷数据走弱，基本面压力持续增大，货币政策延续宽松，债券收益率快速下行。6月，上海全城解封、稳增长政策落地实施，市场交易经济复苏逻辑，债券收益率震荡上行。</w:t>
              <w:br/>
              <w:t xml:space="preserve">    三季度，地产危机愈演愈烈，央行超预期降息，债券收益率下行触底。7月，地产断供风波发酵、地产冲击加大，奥密克戎疫情多地蔓延，经济复苏动能放缓。资金利率持续走低，“宽货币+稳信用”背景下，短端债券收益率持续下行；8月央行超预期降息，带动长债收益率大幅下行。</w:t>
              <w:br/>
              <w:t xml:space="preserve">    四季度，疫情和地产政策放松、理财负反馈等冲击，债券收益率剧烈上行，回吐全年涨幅。跨季后资金利率收敛，海外加息制约国内宽货币空间，债券收益率底部回升。11月，疫情防控政策持续放松优化，地产“三支箭”政策落地，政策推出时点和力度大超市场预期，引发债券市场第一波调整。12月上旬，债市持续下跌导致理财产品净值回撤，理财赎回压力增大，持续抛售债券，引发流动性冲击，债市出现第二波下跌。12月下旬，国内疫情感染病例迎来高峰，经济基本面继续探底，且央行加大公开市场投放力度，债市有所回暖。</w:t>
              <w:br/>
              <w:t xml:space="preserve">2、产品运作</w:t>
              <w:br/>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兴银理财兴承恒享稳盈11号净值型理财产品2022年年度报告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826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上半年：1月份资金面宽松带动收益率下行，产品采取提升久期、适度加杠杆的积极策略，票息打底的同时获取资本利得，业绩表现较为优异。2月市场回调后，及时止盈卖出利差压缩到极致的品种，降低债券仓位和组合久期；同时增配货币市场工具等低波动资产，减缓产品波动。3至5月上海疫情爆发，基本面压力增大利多债市，我们利用专户产品期限较长、负债稳定等优势，重点建仓高等级信用债、金融债等品种，提升组合久期和产品杠杆。6月上海解封后债券收益率小幅上行，我们采用中性久期、适度杠杆，通过止盈部分信用债、增配货币类资产逐步调仓，采用超短+超长的哑铃型组合降低波动。</w:t>
              <w:br/>
              <w:t xml:space="preserve">    下半年：7至8月房地产停贷断供事件爆发、资金面宽松带动债券收益率下行，产品采取提升久期、适度提高杠杆的积极策略。9月市场回调后，我们及时止盈卖出利差压缩到极致的品种，降低组合久期。11至12月债市急跌背景下，我们积极应对、全力降低市场冲击，大力减持降仓债券，降低组合久期和产品杠杆。同时，增加低波货币类资产配置，减缓市场冲击，提升组合防御能力。长期限专户利用运作周期长、负债稳定等优势，把握市场流动性冲击的投资机会，逐步建仓高等级信用债。</w:t>
              <w:br/>
              <w:t xml:space="preserve">二、2023年一季度展望与投资策略</w:t>
              <w:br/>
              <w:t xml:space="preserve">1、2023年一季度展望</w:t>
              <w:br/>
              <w:t xml:space="preserve">    展望一季度，我们对债券市场保持中性观点，结构性机会突出，信用债优于利率债，曲线短端优于长端，“短久期+积极杠杆”策略收益确定性较高。资金利率宽松背景下曲线短端投资交易价值显著，长端仍需关注经济修复后的利率中枢抬升压力。从基本面来看，疫情感染病例高位回落，经济复苏动能逐步增强，利率中枢存在上行压力，长久期债券面临一定调整压力。从资金面来看，经济复苏需要货币政策宽松进行配合，央行明确表态2023年货币政策力度不低于去年，短期内资金面将维持宽松，大幅上行概率较小。从利率曲线来看，短端收益率大幅抬升后，收益率曲线较为平坦，1年左右摊余成本理财不断推出，高等级、短久期债券可能表现更佳。</w:t>
              <w:br/>
              <w:t xml:space="preserve">2、投资策略</w:t>
              <w:br/>
              <w:t xml:space="preserve">    一季度我们采取稳中有进的投资策略，坚持中性久期、适度杠杆的组合策略，重点关注高等级、短久期债券的投资配置价值。在年末资金超预期宽松下，短端利率下行明显，2023年一季度资金面大概率维持宽松，关注跨春节等时点冲击下中短久期债券的建仓机会。品种方面，重点关注高等级AAA、金融债、银行资本债投资机会，上述品种流动性最高，兼具配置价值和交易机会，修复速度领先于中低评级信用债。因此，短久期高等级品种资产性价比较高，信用风险可控，我们择机增配高等级信用债，加大波段交易，努力实现平稳的投资收益。</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1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兴银理财兴承恒享稳盈11号净值型理财产品2022年年度报告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6"/>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无</w:t>
              <w:br/>
            </w:r>
          </w:p>
        </w:tc>
        <w:tc>
          <w:tcP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13.11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86.89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18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21南宁城投MTN001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20,325,200.00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21军融01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20,052,920.00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8.17</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兴银理财兴承恒享稳盈11号净值型理财产品2022年年度报告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22天心城投MTN001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19,460,740.00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22狮投02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19,435,200.00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22兰花CP001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18,998,442.00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7.74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21金地MTN003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17,732,300.00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21铜建01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15,163,155.00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22南京旅游MTN001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14,807,145.00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22高创01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14,389,755.00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21德财01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10,043,020.00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4.09</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24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9K510210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21金地MTN003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9K510210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21南宁城投MTN001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9K510210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22天心城投MTN001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9K510210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兴业基金-兴福1号集合资产管理计划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兴业基金管理有限公司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051010100101297547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兴银理财兴承恒享稳盈11号净值型理财产品</w:t>
                        </w:r>
                      </w:p>
                    </w:tc>
                  </w:tr>
                </w:tbl>
                <w:p>
                  <w:pPr>
                    <w:pStyle w:val="EMPTY_CELL_STYLE"/>
                  </w:pPr>
                </w:p>
              </w:tc>
            </w:tr>
          </w:tbl>
          <w:p>
            <w:pPr>
              <w:pStyle w:val="EMPTY_CELL_STYLE"/>
            </w:pPr>
          </w:p>
        </w:tc>
        <w:tc>
          <w:tcPr>
     </w:tcPr>
          <w:p>
            <w:pPr>
              <w:pStyle w:val="EMPTY_CELL_STYLE"/>
            </w:pPr>
          </w:p>
        </w:tc>
      </w:tr>
      <w:tr>
        <w:trPr>
          <w:trHeight w:hRule="exact" w:val="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兴银理财兴承恒享稳盈11号净值型理财产品2022年年度报告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top"/>
          </w:tcPr>
          <w:p>
            <w:pPr>
              <w:ind/>
              <w:jc w:val="right"/>
            </w:pPr>
            <w:r>
              <w:rPr>
                <w:rFonts w:ascii="宋体" w:hAnsi="宋体" w:eastAsia="宋体" w:cs="宋体"/>
                <w:color w:val="000000"/>
                <w:sz w:val="21"/>
              </w:rPr>
              <w:t xml:space="preserve">2023年5月15日</w:t>
            </w:r>
          </w:p>
        </w:tc>
        <w:tc>
          <w:tcPr>
     </w:tcPr>
          <w:p>
            <w:pPr>
              <w:pStyle w:val="EMPTY_CELL_STYLE"/>
            </w:pPr>
          </w:p>
        </w:tc>
      </w:tr>
      <w:tr>
        <w:trPr>
          <w:trHeight w:hRule="exact" w:val="13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sectPr>
      <w:pgSz w:w="11900" w:h="16840" w:orient="portrait"/>
      <w:pgMar w:top="600" w:right="60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