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381,147,674.8份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381,147,674.80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产品9K51022A自成立日以来，累计净值增长率为4.6920%，年化累计净值增长率为4.3356%。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381,746,926.54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381,746,926.54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6"/>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22张经D1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9,878,150.00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兴瀚资管-新希望可转债优先配售融资业务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兴瀚资管-瑞鑫10号单一资产管理计划(杉杉</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