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兴银理财ESG兴动责任投资混合类净值型理财产品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兴银理财ESG兴动责任投资混合类净值型理财产品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9,460,224,500.32份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5,890,540,404.29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3,569,684,096.03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产品9K22105A自成立日以来，累计净值增长率为-2.2830%，年化累计净值增长率为-1.9983%。</w:t>
              <w:br/>
              <w:t xml:space="preserve">产品9K22105C自成立日以来，累计净值增长率为-2.7790%，年化累计净值增长率为-2.4325%。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9,226,549,828.32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5,756,076,483.26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3,470,473,345.06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责任投资债券部分，有权行权久期为1.0-2.0年，2023年整体经济将处于弱复苏阶段，将债券久期逐步降低，并择机博弈市场机会，结构上，债券部分把期限均衡配置，调整为哑铃型，并进一步提升组合的流动性。权益方面，组合目前主要配置于电力设备、国防军工和公用事业等行业，具体来看，主要配置在光伏设备、电力和军工电子等板块。前十大重仓行业中，医药生物为组合贡献了主要正收益。市场已经出现前期我们预判的积极因素，市场风险偏好有望逐步抬升，后续有望延续反弹走势，从不同板块行业来看，受疫情影响的消费服务板块估值修复已经告一段落，后续需关注基本面复苏的情况；大金融在地产风险逐步化解过程中估值仍有一定修复空间；成长板块近期仍会继续承压，但这是短期的风格影响，随着后续业绩期的到来，业绩增长确定的成长赛道如光伏、军工仍有不错的收益空间。</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0"/>
              </w:rPr>
              <w:t xml:space="preserve"> 4.1报告期末资产持仓前十基本信息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中欧基金优治1号集合资产管理计划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2,357,874,000.00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591,840,009.51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中欧骏泰货币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528,618,075.46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393,618,184.30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392,607,063.14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305,096,885.80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236,036,640.96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227,139,970.89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211,245,228.19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4.2报告期末债券持仓前五基本信息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21电科01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199,846,200.00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199,573,400.00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21国君C3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188,670,950.00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4.3报告期末股票持仓前十基本信息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中航光电</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69,762,354.72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爱旭股份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58,439,464.00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贵州茅台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阳光电源</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51,818,964.60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长江电力</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50,518,587.00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华电国际</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50,122,296.00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中航重机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46,858,848.00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天合光能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41,971,677.76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赛生药业</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42,450,356.58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应流股份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39,629,928.00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0"/>
              </w:rPr>
              <w:t xml:space="preserve"> 4.4报告期末基金持仓前十基本信息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591,840,009.51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中欧骏泰货币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528,618,075.46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393,618,184.30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392,607,063.14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236,036,640.96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227,139,970.89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211,245,228.19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兴业天融 002638.OF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207,200,693.03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工银瑞信彭博国开行债A 009421.OF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199,725,830.63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195,673,724.39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051010100101291011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兴银理财ESG兴动责任投资混合类净值型理财产品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