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10" w:type="dxa"/>
        <w:tblLayout w:type="fixed"/>
        <w:tblCellMar>
          <w:top w:w="0" w:type="dxa"/>
          <w:left w:w="10" w:type="dxa"/>
          <w:bottom w:w="0" w:type="dxa"/>
          <w:right w:w="10" w:type="dxa"/>
        </w:tblCellMar>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tblPrEx>
          <w:tblCellMar>
            <w:top w:w="0" w:type="dxa"/>
            <w:left w:w="10" w:type="dxa"/>
            <w:bottom w:w="0" w:type="dxa"/>
            <w:right w:w="10" w:type="dxa"/>
          </w:tblCellMar>
        </w:tblPrEx>
        <w:trPr>
          <w:gridAfter w:val="4"/>
          <w:wAfter w:w="40" w:type="dxa"/>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兴业银行天天万利宝稳利6号L款净值型理财产品2022年年度报告</w:t>
            </w: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line="360" w:lineRule="auto"/>
              <w:jc w:val="center"/>
            </w:pPr>
            <w:r>
              <w:rPr>
                <w:rFonts w:ascii="宋体" w:hAnsi="宋体" w:eastAsia="宋体" w:cs="宋体"/>
                <w:b/>
                <w:color w:val="000000"/>
                <w:sz w:val="32"/>
              </w:rPr>
              <w:t>兴业银行天天万利宝稳利6号L款净值型理财产品</w:t>
            </w:r>
            <w:r>
              <w:rPr>
                <w:rFonts w:ascii="宋体" w:hAnsi="宋体" w:eastAsia="宋体" w:cs="宋体"/>
                <w:b/>
                <w:color w:val="000000"/>
                <w:sz w:val="32"/>
              </w:rPr>
              <w:br w:type="textWrapping"/>
            </w:r>
            <w:r>
              <w:rPr>
                <w:rFonts w:ascii="宋体" w:hAnsi="宋体" w:eastAsia="宋体" w:cs="宋体"/>
                <w:b/>
                <w:color w:val="000000"/>
                <w:sz w:val="32"/>
              </w:rPr>
              <w:t>2022年年度报告</w:t>
            </w:r>
          </w:p>
        </w:tc>
        <w:tc>
          <w:tcPr>
            <w:tcW w:w="1" w:type="dxa"/>
          </w:tcPr>
          <w:p>
            <w:pPr>
              <w:pStyle w:val="4"/>
            </w:pPr>
          </w:p>
        </w:tc>
      </w:tr>
      <w:tr>
        <w:tblPrEx>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报告送出日期：2023年5月15日</w:t>
            </w: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兴业银行天天万利宝稳利6号L款净值型理财产品2022年年度报告</w:t>
            </w: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tcPr>
          <w:p>
            <w:pPr>
              <w:spacing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兴业银行天天万利宝稳利6号L款净值型理财产品2022年年度报告</w:t>
            </w: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tcPr>
          <w:p>
            <w:pPr>
              <w:spacing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兴业银行天天万利宝稳利6号L款净值型理财产品</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9K209160</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Z7002021000109</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3,688,005,476.4份</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兴业银行股份有限公司</w:t>
            </w:r>
          </w:p>
        </w:tc>
        <w:tc>
          <w:tcPr>
            <w:tcW w:w="1" w:type="dxa"/>
          </w:tcPr>
          <w:p>
            <w:pPr>
              <w:pStyle w:val="4"/>
            </w:pPr>
          </w:p>
        </w:tc>
      </w:tr>
      <w:tr>
        <w:tblPrEx>
          <w:tblCellMar>
            <w:top w:w="0" w:type="dxa"/>
            <w:left w:w="10" w:type="dxa"/>
            <w:bottom w:w="0" w:type="dxa"/>
            <w:right w:w="10" w:type="dxa"/>
          </w:tblCellMar>
        </w:tblPrEx>
        <w:trPr>
          <w:gridAfter w:val="4"/>
          <w:wAfter w:w="40" w:type="dxa"/>
          <w:trHeight w:val="24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40"/>
                  </w:tblGrid>
                  <w:tr>
                    <w:tblPrEx>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W w:w="3000" w:type="dxa"/>
                        <w:tcMar>
                          <w:top w:w="0" w:type="dxa"/>
                          <w:left w:w="0" w:type="dxa"/>
                          <w:bottom w:w="20" w:type="dxa"/>
                          <w:right w:w="0" w:type="dxa"/>
                        </w:tcMar>
                        <w:vAlign w:val="center"/>
                      </w:tcPr>
                      <w:p>
                        <w:pPr>
                          <w:jc w:val="center"/>
                        </w:pPr>
                        <w:r>
                          <w:rPr>
                            <w:rFonts w:ascii="宋体" w:hAnsi="宋体" w:eastAsia="宋体" w:cs="宋体"/>
                            <w:color w:val="000000"/>
                            <w:sz w:val="21"/>
                          </w:rPr>
                          <w:t>稳利季季增利D款</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9K20916A</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3,626,732,281.98</w:t>
                        </w:r>
                      </w:p>
                    </w:tc>
                  </w:tr>
                </w:tbl>
                <w:p>
                  <w:pPr>
                    <w:pStyle w:val="4"/>
                  </w:pPr>
                </w:p>
              </w:tc>
            </w:tr>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jc w:val="center"/>
                        </w:pPr>
                        <w:r>
                          <w:rPr>
                            <w:rFonts w:ascii="宋体" w:hAnsi="宋体" w:eastAsia="宋体" w:cs="宋体"/>
                            <w:color w:val="000000"/>
                            <w:sz w:val="21"/>
                          </w:rPr>
                          <w:t>稳利季季增利D款B</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9K20916B</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34,151,382.93</w:t>
                        </w:r>
                      </w:p>
                    </w:tc>
                  </w:tr>
                </w:tbl>
                <w:p>
                  <w:pPr>
                    <w:pStyle w:val="4"/>
                  </w:pPr>
                </w:p>
              </w:tc>
            </w:tr>
          </w:tbl>
          <w:p>
            <w:pPr>
              <w:pStyle w:val="4"/>
            </w:pPr>
            <w:bookmarkStart w:id="8" w:name="_GoBack"/>
            <w:bookmarkEnd w:id="8"/>
          </w:p>
        </w:tc>
        <w:tc>
          <w:tcPr>
            <w:tcW w:w="1" w:type="dxa"/>
          </w:tcPr>
          <w:p>
            <w:pPr>
              <w:pStyle w:val="4"/>
            </w:pPr>
          </w:p>
        </w:tc>
      </w:tr>
      <w:tr>
        <w:tblPrEx>
          <w:tblCellMar>
            <w:top w:w="0" w:type="dxa"/>
            <w:left w:w="10" w:type="dxa"/>
            <w:bottom w:w="0" w:type="dxa"/>
            <w:right w:w="10" w:type="dxa"/>
          </w:tblCellMar>
        </w:tblPrEx>
        <w:trPr>
          <w:gridAfter w:val="4"/>
          <w:wAfter w:w="40" w:type="dxa"/>
          <w:trHeight w:val="5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c>
          <w:tcPr>
            <w:tcW w:w="1" w:type="dxa"/>
          </w:tcPr>
          <w:p>
            <w:pPr>
              <w:pStyle w:val="4"/>
              <w:pageBreakBefore/>
            </w:pPr>
            <w:bookmarkStart w:id="3" w:name="JR_PAGE_ANCHOR_0_4"/>
            <w:bookmarkEnd w:id="3"/>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兴业银行天天万利宝稳利6号L款净值型理财产品2022年年度报告</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12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40"/>
                  </w:tblGrid>
                  <w:tr>
                    <w:tblPrEx>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jc w:val="center"/>
                        </w:pPr>
                        <w:r>
                          <w:rPr>
                            <w:rFonts w:ascii="宋体" w:hAnsi="宋体" w:eastAsia="宋体" w:cs="宋体"/>
                            <w:color w:val="000000"/>
                            <w:sz w:val="21"/>
                          </w:rPr>
                          <w:t>稳利季季增利D款D</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9K20916D</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27,121,811.49</w:t>
                        </w:r>
                      </w:p>
                    </w:tc>
                  </w:tr>
                </w:tbl>
                <w:p>
                  <w:pPr>
                    <w:pStyle w:val="4"/>
                  </w:pPr>
                </w:p>
              </w:tc>
            </w:tr>
          </w:tbl>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1240" w:hRule="atLeast"/>
        </w:trPr>
        <w:tc>
          <w:tcPr>
            <w:tcW w:w="1" w:type="dxa"/>
          </w:tcPr>
          <w:p>
            <w:pPr>
              <w:pStyle w:val="4"/>
            </w:pPr>
          </w:p>
        </w:tc>
        <w:tc>
          <w:tcPr>
            <w:tcW w:w="40" w:type="dxa"/>
            <w:gridSpan w:val="2"/>
          </w:tcPr>
          <w:p>
            <w:pPr>
              <w:pStyle w:val="4"/>
            </w:pPr>
          </w:p>
        </w:tc>
        <w:tc>
          <w:tcPr>
            <w:tcW w:w="10200" w:type="dxa"/>
            <w:gridSpan w:val="11"/>
            <w:tcMar>
              <w:top w:w="0" w:type="dxa"/>
              <w:left w:w="0" w:type="dxa"/>
              <w:bottom w:w="0" w:type="dxa"/>
              <w:right w:w="0" w:type="dxa"/>
            </w:tcMar>
            <w:vAlign w:val="center"/>
          </w:tcPr>
          <w:p>
            <w:pPr>
              <w:spacing w:line="320" w:lineRule="exact"/>
              <w:jc w:val="left"/>
            </w:pPr>
            <w:r>
              <w:rPr>
                <w:rFonts w:ascii="宋体" w:hAnsi="宋体" w:eastAsia="宋体" w:cs="宋体"/>
                <w:color w:val="000000"/>
                <w:sz w:val="21"/>
              </w:rPr>
              <w:t>产品9K20916A自成立日以来，累计净值增长率为5.4400%，年化累计净值增长率为3.3149%。</w:t>
            </w:r>
            <w:r>
              <w:rPr>
                <w:rFonts w:ascii="宋体" w:hAnsi="宋体" w:eastAsia="宋体" w:cs="宋体"/>
                <w:color w:val="000000"/>
                <w:sz w:val="21"/>
              </w:rPr>
              <w:br w:type="textWrapping"/>
            </w:r>
            <w:r>
              <w:rPr>
                <w:rFonts w:ascii="宋体" w:hAnsi="宋体" w:eastAsia="宋体" w:cs="宋体"/>
                <w:color w:val="000000"/>
                <w:sz w:val="21"/>
              </w:rPr>
              <w:t>产品9K20916B自成立日以来，累计净值增长率为1.2490%，年化累计净值增长率为1.9399%。</w:t>
            </w:r>
            <w:r>
              <w:rPr>
                <w:rFonts w:ascii="宋体" w:hAnsi="宋体" w:eastAsia="宋体" w:cs="宋体"/>
                <w:color w:val="000000"/>
                <w:sz w:val="21"/>
              </w:rPr>
              <w:br w:type="textWrapping"/>
            </w:r>
            <w:r>
              <w:rPr>
                <w:rFonts w:ascii="宋体" w:hAnsi="宋体" w:eastAsia="宋体" w:cs="宋体"/>
                <w:color w:val="000000"/>
                <w:sz w:val="21"/>
              </w:rPr>
              <w:t>产品9K20916D自成立日以来，累计净值增长率为1.3700%，年化累计净值增长率为2.1370%。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9K209160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1.04288</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1.05411</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3,846,156,510.40</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trHeight w:val="24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9K20916A</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1.04317</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1.05440</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3,783,303,637.96</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9K20916B</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1.01249</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1.01249</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34,577,864.01</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9K20916D</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1.04252</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1.04252</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28,275,008.43</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900" w:hRule="atLeast"/>
        </w:trPr>
        <w:tc>
          <w:tcPr>
            <w:tcW w:w="1" w:type="dxa"/>
          </w:tcPr>
          <w:p>
            <w:pPr>
              <w:pStyle w:val="4"/>
            </w:pPr>
          </w:p>
        </w:tc>
        <w:tc>
          <w:tcPr>
            <w:tcW w:w="10700" w:type="dxa"/>
            <w:gridSpan w:val="15"/>
            <w:tcMar>
              <w:top w:w="0" w:type="dxa"/>
              <w:left w:w="0" w:type="dxa"/>
              <w:bottom w:w="0" w:type="dxa"/>
              <w:right w:w="0" w:type="dxa"/>
            </w:tcMar>
          </w:tcPr>
          <w:p>
            <w:pPr>
              <w:spacing w:line="320" w:lineRule="exact"/>
              <w:jc w:val="left"/>
            </w:pPr>
            <w:r>
              <w:rPr>
                <w:rFonts w:ascii="宋体" w:hAnsi="宋体" w:eastAsia="宋体" w:cs="宋体"/>
                <w:color w:val="000000"/>
                <w:sz w:val="21"/>
              </w:rPr>
              <w:t xml:space="preserve">    沈方威先生，中国人民大学金融学硕士，中央财经大学投资学学士，拥有7年的债券投资交易经验，曾任职于中国农业银行金融市场部交易员，于2020年7月加入兴银理财，担任固定收益部投资经理，投资交易经验丰富，注重基本面和政策研究，关注资产性价比，追求稳定回报。</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7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940" w:hRule="atLeast"/>
        </w:trPr>
        <w:tc>
          <w:tcPr>
            <w:tcW w:w="1" w:type="dxa"/>
          </w:tcPr>
          <w:p>
            <w:pPr>
              <w:pStyle w:val="4"/>
            </w:pPr>
          </w:p>
        </w:tc>
        <w:tc>
          <w:tcPr>
            <w:tcW w:w="10700" w:type="dxa"/>
            <w:gridSpan w:val="15"/>
            <w:tcMar>
              <w:top w:w="0" w:type="dxa"/>
              <w:left w:w="0" w:type="dxa"/>
              <w:bottom w:w="0" w:type="dxa"/>
              <w:right w:w="0" w:type="dxa"/>
            </w:tcMar>
          </w:tcPr>
          <w:p>
            <w:pPr>
              <w:spacing w:line="320" w:lineRule="exact"/>
              <w:jc w:val="left"/>
            </w:pPr>
            <w:r>
              <w:rPr>
                <w:rFonts w:ascii="宋体" w:hAnsi="宋体" w:eastAsia="宋体" w:cs="宋体"/>
                <w:color w:val="000000"/>
                <w:sz w:val="21"/>
              </w:rPr>
              <w:t>一、2022年投资策略与运作回顾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r>
            <w:r>
              <w:rPr>
                <w:rFonts w:ascii="宋体" w:hAnsi="宋体" w:eastAsia="宋体" w:cs="宋体"/>
                <w:color w:val="000000"/>
                <w:sz w:val="21"/>
              </w:rPr>
              <w:br w:type="textWrapping"/>
            </w:r>
            <w:r>
              <w:rPr>
                <w:rFonts w:ascii="宋体" w:hAnsi="宋体" w:eastAsia="宋体" w:cs="宋体"/>
                <w:color w:val="000000"/>
                <w:sz w:val="21"/>
              </w:rPr>
              <w:t xml:space="preserve">    产品运作方面，前三季度主要在震荡市场行情下，对产品组合久期、券种择机进行积极调仓操作。其中三季</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Pr>
        <w:tc>
          <w:tcPr>
            <w:tcW w:w="1" w:type="dxa"/>
          </w:tcPr>
          <w:p>
            <w:pPr>
              <w:pStyle w:val="4"/>
              <w:pageBreakBefore/>
            </w:pPr>
            <w:bookmarkStart w:id="4" w:name="JR_PAGE_ANCHOR_0_5"/>
            <w:bookmarkEnd w:id="4"/>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兴业银行天天万利宝稳利6号L款净值型理财产品2022年年度报告</w:t>
            </w: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3920" w:hRule="atLeast"/>
        </w:trPr>
        <w:tc>
          <w:tcPr>
            <w:tcW w:w="1" w:type="dxa"/>
          </w:tcPr>
          <w:p>
            <w:pPr>
              <w:pStyle w:val="4"/>
            </w:pPr>
          </w:p>
        </w:tc>
        <w:tc>
          <w:tcPr>
            <w:tcW w:w="10700" w:type="dxa"/>
            <w:gridSpan w:val="15"/>
            <w:tcMar>
              <w:top w:w="0" w:type="dxa"/>
              <w:left w:w="0" w:type="dxa"/>
              <w:bottom w:w="0" w:type="dxa"/>
              <w:right w:w="0" w:type="dxa"/>
            </w:tcMar>
          </w:tcPr>
          <w:p>
            <w:pPr>
              <w:spacing w:line="320" w:lineRule="exact"/>
              <w:jc w:val="left"/>
            </w:pPr>
            <w:r>
              <w:rPr>
                <w:rFonts w:ascii="宋体" w:hAnsi="宋体" w:eastAsia="宋体" w:cs="宋体"/>
                <w:color w:val="000000"/>
                <w:sz w:val="21"/>
              </w:rPr>
              <w:t>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t>二、2023一季度投资策略展望</w:t>
            </w:r>
            <w:r>
              <w:rPr>
                <w:rFonts w:ascii="宋体" w:hAnsi="宋体" w:eastAsia="宋体" w:cs="宋体"/>
                <w:color w:val="000000"/>
                <w:sz w:val="21"/>
              </w:rPr>
              <w:br w:type="textWrapping"/>
            </w:r>
            <w:r>
              <w:rPr>
                <w:rFonts w:ascii="宋体" w:hAnsi="宋体" w:eastAsia="宋体" w:cs="宋体"/>
                <w:color w:val="000000"/>
                <w:sz w:val="21"/>
              </w:rP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5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4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30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tcPr>
          <w:p>
            <w:pPr>
              <w:spacing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tcPr>
            <w:tcW w:w="1" w:type="dxa"/>
          </w:tcPr>
          <w:p>
            <w:pPr>
              <w:pStyle w:val="4"/>
            </w:pPr>
          </w:p>
        </w:tc>
      </w:tr>
      <w:tr>
        <w:tblPrEx>
          <w:tblCellMar>
            <w:top w:w="0" w:type="dxa"/>
            <w:left w:w="10" w:type="dxa"/>
            <w:bottom w:w="0" w:type="dxa"/>
            <w:right w:w="10" w:type="dxa"/>
          </w:tblCellMar>
        </w:tblPrEx>
        <w:trPr>
          <w:gridAfter w:val="2"/>
          <w:wAfter w:w="20" w:type="dxa"/>
          <w:trHeight w:val="6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4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1480" w:hRule="atLeast"/>
        </w:trPr>
        <w:tc>
          <w:tcPr>
            <w:tcW w:w="1" w:type="dxa"/>
          </w:tcPr>
          <w:p>
            <w:pPr>
              <w:pStyle w:val="4"/>
            </w:pPr>
          </w:p>
        </w:tc>
        <w:tc>
          <w:tcPr>
            <w:tcW w:w="10700" w:type="dxa"/>
            <w:gridSpan w:val="15"/>
            <w:tcMar>
              <w:top w:w="0" w:type="dxa"/>
              <w:left w:w="0" w:type="dxa"/>
              <w:bottom w:w="0" w:type="dxa"/>
              <w:right w:w="0" w:type="dxa"/>
            </w:tcMar>
            <w:vAlign w:val="center"/>
          </w:tcPr>
          <w:p>
            <w:pPr>
              <w:spacing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6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2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4"/>
            </w:pPr>
          </w:p>
        </w:tc>
      </w:tr>
      <w:tr>
        <w:tblPrEx>
          <w:tblCellMar>
            <w:top w:w="0" w:type="dxa"/>
            <w:left w:w="10" w:type="dxa"/>
            <w:bottom w:w="0" w:type="dxa"/>
            <w:right w:w="10" w:type="dxa"/>
          </w:tblCellMar>
        </w:tblPrEx>
        <w:trPr>
          <w:gridAfter w:val="2"/>
          <w:wAfter w:w="20" w:type="dxa"/>
          <w:trHeight w:val="126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c>
          <w:tcPr>
            <w:tcW w:w="1" w:type="dxa"/>
          </w:tcPr>
          <w:p>
            <w:pPr>
              <w:pStyle w:val="4"/>
              <w:pageBreakBefore/>
            </w:pPr>
            <w:bookmarkStart w:id="5" w:name="JR_PAGE_ANCHOR_0_6"/>
            <w:bookmarkEnd w:id="5"/>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兴业银行天天万利宝稳利6号L款净值型理财产品2022年年度报告</w:t>
            </w: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42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1.70</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7.97</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0.20</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90.44</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91.42</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0.41</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7.86</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1000" w:hRule="atLeast"/>
        </w:trPr>
        <w:tc>
          <w:tcPr>
            <w:tcW w:w="1" w:type="dxa"/>
          </w:tcPr>
          <w:p>
            <w:pPr>
              <w:pStyle w:val="4"/>
            </w:pPr>
          </w:p>
        </w:tc>
        <w:tc>
          <w:tcPr>
            <w:tcW w:w="10700" w:type="dxa"/>
            <w:gridSpan w:val="15"/>
            <w:tcMar>
              <w:top w:w="0" w:type="dxa"/>
              <w:left w:w="0" w:type="dxa"/>
              <w:bottom w:w="0" w:type="dxa"/>
              <w:right w:w="0" w:type="dxa"/>
            </w:tcMar>
          </w:tcPr>
          <w:p>
            <w:pPr>
              <w:spacing w:line="320" w:lineRule="exact"/>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2580" w:hRule="atLeast"/>
        </w:trPr>
        <w:tc>
          <w:tcPr>
            <w:tcW w:w="1" w:type="dxa"/>
          </w:tcPr>
          <w:p>
            <w:pPr>
              <w:pStyle w:val="4"/>
            </w:pPr>
          </w:p>
        </w:tc>
        <w:tc>
          <w:tcPr>
            <w:tcW w:w="10700" w:type="dxa"/>
            <w:gridSpan w:val="15"/>
            <w:tcMar>
              <w:top w:w="0" w:type="dxa"/>
              <w:left w:w="0" w:type="dxa"/>
              <w:bottom w:w="0" w:type="dxa"/>
              <w:right w:w="0" w:type="dxa"/>
            </w:tcMar>
          </w:tcPr>
          <w:p>
            <w:pPr>
              <w:spacing w:line="320" w:lineRule="exact"/>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5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20" w:type="dxa"/>
          </w:tcPr>
          <w:p>
            <w:pPr>
              <w:pStyle w:val="4"/>
            </w:pPr>
          </w:p>
        </w:tc>
        <w:tc>
          <w:tcPr>
            <w:tcW w:w="20" w:type="dxa"/>
          </w:tcPr>
          <w:p>
            <w:pPr>
              <w:pStyle w:val="4"/>
            </w:pPr>
          </w:p>
        </w:tc>
        <w:tc>
          <w:tcPr>
            <w:tcW w:w="10700" w:type="dxa"/>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CellMar>
            <w:top w:w="0" w:type="dxa"/>
            <w:left w:w="10" w:type="dxa"/>
            <w:bottom w:w="0" w:type="dxa"/>
            <w:right w:w="10" w:type="dxa"/>
          </w:tblCellMar>
        </w:tblPrEx>
        <w:trPr>
          <w:trHeight w:val="4240" w:hRule="exact"/>
        </w:trPr>
        <w:tc>
          <w:tcPr>
            <w:tcW w:w="1" w:type="dxa"/>
          </w:tcPr>
          <w:p>
            <w:pPr>
              <w:pStyle w:val="4"/>
            </w:pPr>
          </w:p>
        </w:tc>
        <w:tc>
          <w:tcPr>
            <w:tcW w:w="20" w:type="dxa"/>
          </w:tcPr>
          <w:p>
            <w:pPr>
              <w:pStyle w:val="4"/>
            </w:pPr>
          </w:p>
        </w:tc>
        <w:tc>
          <w:tcPr>
            <w:tcW w:w="20" w:type="dxa"/>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22CSFD161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319,989,440.00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8.32</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302,501,281.04</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7.87</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22CSFD155</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299,987,400.00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7.80</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22CSFD152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299,987,400.00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7.80</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22CSFD172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239,992,320.00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6.24</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22CSFD135</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159,992,000.00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4.16</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trHeight w:val="38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c>
          <w:tcPr>
            <w:tcW w:w="1" w:type="dxa"/>
          </w:tcPr>
          <w:p>
            <w:pPr>
              <w:pStyle w:val="4"/>
              <w:pageBreakBefore/>
            </w:pPr>
            <w:bookmarkStart w:id="6" w:name="JR_PAGE_ANCHOR_0_7"/>
            <w:bookmarkEnd w:id="6"/>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兴业银行天天万利宝稳利6号L款净值型理财产品2022年年度报告</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400" w:hRule="exact"/>
        </w:trPr>
        <w:tc>
          <w:tcPr>
            <w:tcW w:w="1" w:type="dxa"/>
          </w:tcPr>
          <w:p>
            <w:pPr>
              <w:pStyle w:val="4"/>
            </w:pPr>
          </w:p>
        </w:tc>
        <w:tc>
          <w:tcPr>
            <w:tcW w:w="40" w:type="dxa"/>
            <w:gridSpan w:val="2"/>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21四川路桥MTN001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149,580,150.00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3.89</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22CSFD131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129,993,240.00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3.38</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20陕高速MTN001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100,597,100.00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2.62</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20东北C1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80,138,480.00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2.08</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tcPr>
          <w:p>
            <w:r>
              <w:rPr>
                <w:rFonts w:ascii="宋体" w:hAnsi="宋体" w:eastAsia="宋体" w:cs="宋体"/>
                <w:color w:val="000000"/>
              </w:rPr>
              <w:t>5.1 理财产品在报告期末投资关联方发行、承销的证券的情况</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600" w:hRule="exact"/>
        </w:trPr>
        <w:tc>
          <w:tcPr>
            <w:tcW w:w="1" w:type="dxa"/>
          </w:tcPr>
          <w:p>
            <w:pPr>
              <w:pStyle w:val="4"/>
            </w:pPr>
          </w:p>
        </w:tc>
        <w:tc>
          <w:tcPr>
            <w:tcW w:w="10700" w:type="dxa"/>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9K209160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20麓山投资MTN002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9K209160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20农垦MTN001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17,000,000.00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9K209160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20伊犁财通MTN001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9K209160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20镇江城建MTN001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9K209160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20镇江城建MTN003</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9K209160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21常德经建MTN002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9K209160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21东南国资MTN001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9K209160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21南湖投资MTN001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9K209160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21粤财投资MTN001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9K209160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22象屿金象CP002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tcPr>
          <w:p>
            <w:r>
              <w:rPr>
                <w:rFonts w:ascii="宋体" w:hAnsi="宋体" w:eastAsia="宋体" w:cs="宋体"/>
                <w:color w:val="000000"/>
              </w:rPr>
              <w:t>5.2 理财产品在报告期内其他关联交易</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40"/>
                  </w:tblGrid>
                  <w:tr>
                    <w:tblPrEx>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40"/>
                  </w:tblGrid>
                  <w:tr>
                    <w:tblPrEx>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tcPr>
          <w:p>
            <w:r>
              <w:rPr>
                <w:rFonts w:ascii="宋体" w:hAnsi="宋体" w:eastAsia="宋体" w:cs="宋体"/>
                <w:color w:val="000000"/>
              </w:rPr>
              <w:t>5.3 理财产品在报告期内中的重大关联交易</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40"/>
                  </w:tblGrid>
                  <w:tr>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40"/>
                  </w:tblGrid>
                  <w:tr>
                    <w:tblPrEx>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4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c>
          <w:tcPr>
            <w:tcW w:w="1" w:type="dxa"/>
          </w:tcPr>
          <w:p>
            <w:pPr>
              <w:pStyle w:val="4"/>
              <w:pageBreakBefore/>
            </w:pPr>
            <w:bookmarkStart w:id="7" w:name="JR_PAGE_ANCHOR_0_8"/>
            <w:bookmarkEnd w:id="7"/>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兴业银行天天万利宝稳利6号L款净值型理财产品2022年年度报告</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051010100101186429</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兴业银行天天万利宝稳利6号L款净值型理财产品</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tcPr>
          <w:p>
            <w:pPr>
              <w:jc w:val="right"/>
            </w:pPr>
            <w:r>
              <w:rPr>
                <w:rFonts w:ascii="宋体" w:hAnsi="宋体" w:eastAsia="宋体" w:cs="宋体"/>
                <w:color w:val="000000"/>
                <w:sz w:val="21"/>
              </w:rPr>
              <w:t>2023年5月15日</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11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8/</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8</w:t>
            </w:r>
          </w:p>
        </w:tc>
        <w:tc>
          <w:tcPr>
            <w:tcW w:w="3300" w:type="dxa"/>
            <w:gridSpan w:val="4"/>
          </w:tcPr>
          <w:p>
            <w:pPr>
              <w:pStyle w:val="4"/>
            </w:pPr>
          </w:p>
        </w:tc>
        <w:tc>
          <w:tcPr>
            <w:tcW w:w="40" w:type="dxa"/>
            <w:gridSpan w:val="4"/>
          </w:tcPr>
          <w:p>
            <w:pPr>
              <w:pStyle w:val="4"/>
            </w:pPr>
          </w:p>
        </w:tc>
        <w:tc>
          <w:tcPr>
            <w:tcW w:w="1" w:type="dxa"/>
          </w:tcPr>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800"/>
  <w:characterSpacingControl w:val="doNotCompress"/>
  <w:compat>
    <w:useFELayout/>
    <w:compatSetting w:name="compatibilityMode" w:uri="http://schemas.microsoft.com/office/word" w:val="12"/>
  </w:compat>
  <w:rsids>
    <w:rsidRoot w:val="00740A5B"/>
    <w:rsid w:val="00454CB6"/>
    <w:rsid w:val="00740A5B"/>
    <w:rsid w:val="00810784"/>
    <w:rsid w:val="77966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EMPTY_CELL_STYLE"/>
    <w:qFormat/>
    <w:uiPriority w:val="0"/>
    <w:rPr>
      <w:rFonts w:ascii="SansSerif" w:hAnsi="SansSerif" w:eastAsia="SansSerif" w:cs="SansSerif"/>
      <w:color w:val="000000"/>
      <w:sz w:val="1"/>
      <w:lang w:val="en-US" w:eastAsia="zh-CN" w:bidi="ar-SA"/>
    </w:rPr>
  </w:style>
  <w:style w:type="paragraph" w:customStyle="1" w:styleId="5">
    <w:name w:val="Table_TH"/>
    <w:qFormat/>
    <w:uiPriority w:val="0"/>
    <w:rPr>
      <w:rFonts w:ascii="SansSerif" w:hAnsi="SansSerif" w:eastAsia="SansSerif" w:cs="SansSerif"/>
      <w:color w:val="000000"/>
      <w:lang w:val="en-US" w:eastAsia="zh-CN" w:bidi="ar-SA"/>
    </w:rPr>
  </w:style>
  <w:style w:type="paragraph" w:customStyle="1" w:styleId="6">
    <w:name w:val="Table_CH"/>
    <w:qFormat/>
    <w:uiPriority w:val="0"/>
    <w:rPr>
      <w:rFonts w:ascii="SansSerif" w:hAnsi="SansSerif" w:eastAsia="SansSerif" w:cs="SansSerif"/>
      <w:color w:val="000000"/>
      <w:lang w:val="en-US" w:eastAsia="zh-CN" w:bidi="ar-SA"/>
    </w:rPr>
  </w:style>
  <w:style w:type="paragraph" w:customStyle="1" w:styleId="7">
    <w:name w:val="Table_TD"/>
    <w:qFormat/>
    <w:uiPriority w:val="0"/>
    <w:rPr>
      <w:rFonts w:ascii="SansSerif" w:hAnsi="SansSerif" w:eastAsia="SansSerif" w:cs="SansSerif"/>
      <w:color w:val="000000"/>
      <w:lang w:val="en-US" w:eastAsia="zh-CN" w:bidi="ar-SA"/>
    </w:rPr>
  </w:style>
  <w:style w:type="paragraph" w:customStyle="1" w:styleId="8">
    <w:name w:val="Table_CD"/>
    <w:qFormat/>
    <w:uiPriority w:val="0"/>
    <w:rPr>
      <w:rFonts w:ascii="SansSerif" w:hAnsi="SansSerif" w:eastAsia="SansSerif" w:cs="SansSerif"/>
      <w:color w:val="000000"/>
      <w:lang w:val="en-US" w:eastAsia="zh-CN" w:bidi="ar-SA"/>
    </w:rPr>
  </w:style>
  <w:style w:type="paragraph" w:customStyle="1" w:styleId="9">
    <w:name w:val="Table 3_TH"/>
    <w:qFormat/>
    <w:uiPriority w:val="0"/>
    <w:rPr>
      <w:rFonts w:ascii="SansSerif" w:hAnsi="SansSerif" w:eastAsia="SansSerif" w:cs="SansSerif"/>
      <w:color w:val="000000"/>
      <w:lang w:val="en-US" w:eastAsia="zh-CN" w:bidi="ar-SA"/>
    </w:rPr>
  </w:style>
  <w:style w:type="paragraph" w:customStyle="1" w:styleId="10">
    <w:name w:val="Table 3_CH"/>
    <w:qFormat/>
    <w:uiPriority w:val="0"/>
    <w:rPr>
      <w:rFonts w:ascii="SansSerif" w:hAnsi="SansSerif" w:eastAsia="SansSerif" w:cs="SansSerif"/>
      <w:color w:val="000000"/>
      <w:lang w:val="en-US" w:eastAsia="zh-CN" w:bidi="ar-SA"/>
    </w:rPr>
  </w:style>
  <w:style w:type="paragraph" w:customStyle="1" w:styleId="11">
    <w:name w:val="Table 3_TD"/>
    <w:qFormat/>
    <w:uiPriority w:val="0"/>
    <w:rPr>
      <w:rFonts w:ascii="SansSerif" w:hAnsi="SansSerif" w:eastAsia="SansSerif" w:cs="SansSerif"/>
      <w:color w:val="000000"/>
      <w:lang w:val="en-US" w:eastAsia="zh-CN" w:bidi="ar-SA"/>
    </w:rPr>
  </w:style>
  <w:style w:type="paragraph" w:customStyle="1" w:styleId="12">
    <w:name w:val="Table 4_TH"/>
    <w:qFormat/>
    <w:uiPriority w:val="0"/>
    <w:rPr>
      <w:rFonts w:ascii="SansSerif" w:hAnsi="SansSerif" w:eastAsia="SansSerif" w:cs="SansSerif"/>
      <w:color w:val="000000"/>
      <w:lang w:val="en-US" w:eastAsia="zh-CN" w:bidi="ar-SA"/>
    </w:rPr>
  </w:style>
  <w:style w:type="paragraph" w:customStyle="1" w:styleId="13">
    <w:name w:val="Table 4_CH"/>
    <w:qFormat/>
    <w:uiPriority w:val="0"/>
    <w:rPr>
      <w:rFonts w:ascii="SansSerif" w:hAnsi="SansSerif" w:eastAsia="SansSerif" w:cs="SansSerif"/>
      <w:color w:val="000000"/>
      <w:lang w:val="en-US" w:eastAsia="zh-CN" w:bidi="ar-SA"/>
    </w:rPr>
  </w:style>
  <w:style w:type="paragraph" w:customStyle="1" w:styleId="14">
    <w:name w:val="Table 4_TD"/>
    <w:qFormat/>
    <w:uiPriority w:val="0"/>
    <w:rPr>
      <w:rFonts w:ascii="SansSerif" w:hAnsi="SansSerif" w:eastAsia="SansSerif" w:cs="SansSerif"/>
      <w:color w:val="000000"/>
      <w:lang w:val="en-US" w:eastAsia="zh-CN" w:bidi="ar-SA"/>
    </w:rPr>
  </w:style>
  <w:style w:type="paragraph" w:customStyle="1" w:styleId="15">
    <w:name w:val="Table 1_TH"/>
    <w:qFormat/>
    <w:uiPriority w:val="0"/>
    <w:rPr>
      <w:rFonts w:ascii="SansSerif" w:hAnsi="SansSerif" w:eastAsia="SansSerif" w:cs="SansSerif"/>
      <w:color w:val="000000"/>
      <w:lang w:val="en-US" w:eastAsia="zh-CN" w:bidi="ar-SA"/>
    </w:rPr>
  </w:style>
  <w:style w:type="paragraph" w:customStyle="1" w:styleId="16">
    <w:name w:val="Table 1_CH"/>
    <w:qFormat/>
    <w:uiPriority w:val="0"/>
    <w:rPr>
      <w:rFonts w:ascii="SansSerif" w:hAnsi="SansSerif" w:eastAsia="SansSerif" w:cs="SansSerif"/>
      <w:color w:val="000000"/>
      <w:lang w:val="en-US" w:eastAsia="zh-CN" w:bidi="ar-SA"/>
    </w:rPr>
  </w:style>
  <w:style w:type="paragraph" w:customStyle="1" w:styleId="17">
    <w:name w:val="Table 1_TD"/>
    <w:qFormat/>
    <w:uiPriority w:val="0"/>
    <w:rPr>
      <w:rFonts w:ascii="SansSerif" w:hAnsi="SansSerif" w:eastAsia="SansSerif" w:cs="SansSerif"/>
      <w:color w:val="000000"/>
      <w:lang w:val="en-US" w:eastAsia="zh-CN" w:bidi="ar-SA"/>
    </w:rPr>
  </w:style>
  <w:style w:type="paragraph" w:customStyle="1" w:styleId="18">
    <w:name w:val="Table 2_TH"/>
    <w:qFormat/>
    <w:uiPriority w:val="0"/>
    <w:rPr>
      <w:rFonts w:ascii="SansSerif" w:hAnsi="SansSerif" w:eastAsia="SansSerif" w:cs="SansSerif"/>
      <w:color w:val="000000"/>
      <w:lang w:val="en-US" w:eastAsia="zh-CN" w:bidi="ar-SA"/>
    </w:rPr>
  </w:style>
  <w:style w:type="paragraph" w:customStyle="1" w:styleId="19">
    <w:name w:val="Table 2_CH"/>
    <w:qFormat/>
    <w:uiPriority w:val="0"/>
    <w:rPr>
      <w:rFonts w:ascii="SansSerif" w:hAnsi="SansSerif" w:eastAsia="SansSerif" w:cs="SansSerif"/>
      <w:color w:val="000000"/>
      <w:lang w:val="en-US" w:eastAsia="zh-CN" w:bidi="ar-SA"/>
    </w:rPr>
  </w:style>
  <w:style w:type="paragraph" w:customStyle="1" w:styleId="20">
    <w:name w:val="Table 2_TD"/>
    <w:qFormat/>
    <w:uiPriority w:val="0"/>
    <w:rPr>
      <w:rFonts w:ascii="SansSerif" w:hAnsi="SansSerif" w:eastAsia="SansSerif" w:cs="SansSerif"/>
      <w:color w:val="000000"/>
      <w:lang w:val="en-US" w:eastAsia="zh-CN" w:bidi="ar-SA"/>
    </w:rPr>
  </w:style>
  <w:style w:type="paragraph" w:customStyle="1" w:styleId="21">
    <w:name w:val="Table 5_TH"/>
    <w:qFormat/>
    <w:uiPriority w:val="0"/>
    <w:rPr>
      <w:rFonts w:ascii="SansSerif" w:hAnsi="SansSerif" w:eastAsia="SansSerif" w:cs="SansSerif"/>
      <w:color w:val="000000"/>
      <w:lang w:val="en-US" w:eastAsia="zh-CN" w:bidi="ar-SA"/>
    </w:rPr>
  </w:style>
  <w:style w:type="paragraph" w:customStyle="1" w:styleId="22">
    <w:name w:val="Table 5_CH"/>
    <w:qFormat/>
    <w:uiPriority w:val="0"/>
    <w:rPr>
      <w:rFonts w:ascii="SansSerif" w:hAnsi="SansSerif" w:eastAsia="SansSerif" w:cs="SansSerif"/>
      <w:color w:val="000000"/>
      <w:lang w:val="en-US" w:eastAsia="zh-CN" w:bidi="ar-SA"/>
    </w:rPr>
  </w:style>
  <w:style w:type="paragraph" w:customStyle="1" w:styleId="23">
    <w:name w:val="Table 5_TD"/>
    <w:qFormat/>
    <w:uiPriority w:val="0"/>
    <w:rPr>
      <w:rFonts w:ascii="SansSerif" w:hAnsi="SansSerif" w:eastAsia="SansSerif" w:cs="SansSerif"/>
      <w:color w:val="000000"/>
      <w:lang w:val="en-US" w:eastAsia="zh-CN" w:bidi="ar-SA"/>
    </w:rPr>
  </w:style>
  <w:style w:type="paragraph" w:customStyle="1" w:styleId="24">
    <w:name w:val="Table 6_TH"/>
    <w:qFormat/>
    <w:uiPriority w:val="0"/>
    <w:rPr>
      <w:rFonts w:ascii="SansSerif" w:hAnsi="SansSerif" w:eastAsia="SansSerif" w:cs="SansSerif"/>
      <w:color w:val="000000"/>
      <w:lang w:val="en-US" w:eastAsia="zh-CN" w:bidi="ar-SA"/>
    </w:rPr>
  </w:style>
  <w:style w:type="paragraph" w:customStyle="1" w:styleId="25">
    <w:name w:val="Table 6_CH"/>
    <w:qFormat/>
    <w:uiPriority w:val="0"/>
    <w:rPr>
      <w:rFonts w:ascii="SansSerif" w:hAnsi="SansSerif" w:eastAsia="SansSerif" w:cs="SansSerif"/>
      <w:color w:val="000000"/>
      <w:lang w:val="en-US" w:eastAsia="zh-CN" w:bidi="ar-SA"/>
    </w:rPr>
  </w:style>
  <w:style w:type="paragraph" w:customStyle="1" w:styleId="26">
    <w:name w:val="Table 6_TD"/>
    <w:qFormat/>
    <w:uiPriority w:val="0"/>
    <w:rPr>
      <w:rFonts w:ascii="SansSerif" w:hAnsi="SansSerif" w:eastAsia="SansSerif" w:cs="SansSerif"/>
      <w:color w:val="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8</Pages>
  <Words>925</Words>
  <Characters>5279</Characters>
  <Lines>43</Lines>
  <Paragraphs>12</Paragraphs>
  <TotalTime>1</TotalTime>
  <ScaleCrop>false</ScaleCrop>
  <LinksUpToDate>false</LinksUpToDate>
  <CharactersWithSpaces>6192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2023-04-28T06:25:00Z</dcterms:created>
  <dc:creator>User</dc:creator>
  <cp:lastModifiedBy>cib</cp:lastModifiedBy>
  <dcterms:modified xsi:type="dcterms:W3CDTF">2023-04-28T08:12:27Z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