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347,937,428.67份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产品9K211010自成立日以来，累计净值增长率为9.1980%，年化累计净值增长率为3.7935%。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0.99166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1.09198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345,034,261.38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1.5年，杠杆120%。四季度组合受到债券市场大幅波动的影响，净值出现了一定下滑，目前随着债券价格的反弹，产品收益也逐步稳定。展望后市，目前市场仍然处于复苏的初期，预期打得比较满。利率大概率处于一个震荡状态，需要对复苏程度和资金是否会收敛保持关注。产品衍生品策略运用需要更加灵活，在债券波动加大时为组合贡献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24,953,625.00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24,677,723.00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19,215,099.00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12,299,616.00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12,218,205.34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11,907,708.00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