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6"/>
            </w:pPr>
            <w:bookmarkStart w:id="0" w:name="JR_PAGE_ANCHOR_0_1"/>
            <w:bookmarkEnd w:id="0"/>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96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6"/>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660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7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1" w:name="JR_PAGE_ANCHOR_0_2"/>
            <w:bookmarkEnd w:id="1"/>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8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6"/>
            </w:pPr>
          </w:p>
        </w:tc>
        <w:tc>
          <w:tcPr>
            <w:tcW w:w="100" w:type="dxa"/>
            <w:gridSpan w:val="3"/>
          </w:tcPr>
          <w:p>
            <w:pPr>
              <w:pStyle w:val="6"/>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8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2" w:name="JR_PAGE_ANCHOR_0_3"/>
            <w:bookmarkEnd w:id="2"/>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6"/>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兴银理财天天万利宝稳利3号净值型理财产品O款</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9K212013</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1,700,000,000份</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6"/>
            </w:pPr>
          </w:p>
        </w:tc>
      </w:tr>
      <w:tr>
        <w:tblPrEx>
          <w:tblCellMar>
            <w:top w:w="0" w:type="dxa"/>
            <w:left w:w="10" w:type="dxa"/>
            <w:bottom w:w="0" w:type="dxa"/>
            <w:right w:w="10" w:type="dxa"/>
          </w:tblCellMar>
        </w:tblPrEx>
        <w:trPr>
          <w:gridAfter w:val="4"/>
          <w:wAfter w:w="40" w:type="dxa"/>
          <w:trHeight w:val="2400" w:hRule="exact"/>
        </w:trPr>
        <w:tc>
          <w:tcPr>
            <w:tcW w:w="1" w:type="dxa"/>
          </w:tcPr>
          <w:p>
            <w:pPr>
              <w:pStyle w:val="6"/>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稳利3号O款(A类)</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9K212113</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1,000,000,000.00</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稳利3号O款(B类)</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9K212213</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700,000,000.00</w:t>
                        </w:r>
                      </w:p>
                    </w:tc>
                  </w:tr>
                </w:tbl>
                <w:p>
                  <w:pPr>
                    <w:pStyle w:val="6"/>
                  </w:pPr>
                </w:p>
              </w:tc>
            </w:tr>
          </w:tbl>
          <w:p>
            <w:pPr>
              <w:pStyle w:val="6"/>
            </w:pPr>
            <w:bookmarkStart w:id="8" w:name="_GoBack"/>
            <w:bookmarkEnd w:id="8"/>
          </w:p>
        </w:tc>
        <w:tc>
          <w:tcPr>
            <w:tcW w:w="1" w:type="dxa"/>
          </w:tcPr>
          <w:p>
            <w:pPr>
              <w:pStyle w:val="6"/>
            </w:pPr>
          </w:p>
        </w:tc>
      </w:tr>
      <w:tr>
        <w:tblPrEx>
          <w:tblCellMar>
            <w:top w:w="0" w:type="dxa"/>
            <w:left w:w="10" w:type="dxa"/>
            <w:bottom w:w="0" w:type="dxa"/>
            <w:right w:w="10" w:type="dxa"/>
          </w:tblCellMar>
        </w:tblPrEx>
        <w:trPr>
          <w:gridAfter w:val="4"/>
          <w:wAfter w:w="40" w:type="dxa"/>
          <w:trHeight w:val="5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400" w:type="dxa"/>
            <w:gridSpan w:val="6"/>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3" w:name="JR_PAGE_ANCHOR_0_4"/>
            <w:bookmarkEnd w:id="3"/>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900" w:hRule="atLeast"/>
        </w:trPr>
        <w:tc>
          <w:tcPr>
            <w:tcW w:w="1" w:type="dxa"/>
          </w:tcPr>
          <w:p>
            <w:pPr>
              <w:pStyle w:val="6"/>
            </w:pPr>
          </w:p>
        </w:tc>
        <w:tc>
          <w:tcPr>
            <w:tcW w:w="40" w:type="dxa"/>
            <w:gridSpan w:val="2"/>
          </w:tcPr>
          <w:p>
            <w:pPr>
              <w:pStyle w:val="6"/>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产品9K212113自成立日以来，累计净值增长率为10.0520%，年化累计净值增长率为3.7324%。</w:t>
            </w:r>
            <w:r>
              <w:rPr>
                <w:rFonts w:ascii="宋体" w:hAnsi="宋体" w:eastAsia="宋体" w:cs="宋体"/>
                <w:color w:val="000000"/>
                <w:sz w:val="21"/>
              </w:rPr>
              <w:br w:type="textWrapping"/>
            </w:r>
            <w:r>
              <w:rPr>
                <w:rFonts w:ascii="宋体" w:hAnsi="宋体" w:eastAsia="宋体" w:cs="宋体"/>
                <w:color w:val="000000"/>
                <w:sz w:val="21"/>
              </w:rPr>
              <w:t>产品9K212213自成立日以来，累计净值增长率为9.9700%，年化累计净值增长率为3.7020%。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1.10002</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1,742,414,094.03</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18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9K212113</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1.10052</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1,024,949,465.95</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9K212213</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1.09970</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717,464,628.08</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56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7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42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一、2022年市场回顾与产品投资策略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r>
            <w:r>
              <w:rPr>
                <w:rFonts w:ascii="宋体" w:hAnsi="宋体" w:eastAsia="宋体" w:cs="宋体"/>
                <w:color w:val="000000"/>
                <w:sz w:val="21"/>
              </w:rPr>
              <w:br w:type="textWrapping"/>
            </w:r>
            <w:r>
              <w:rPr>
                <w:rFonts w:ascii="宋体" w:hAnsi="宋体" w:eastAsia="宋体" w:cs="宋体"/>
                <w:color w:val="000000"/>
                <w:sz w:val="21"/>
              </w:rP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r>
            <w:r>
              <w:rPr>
                <w:rFonts w:ascii="宋体" w:hAnsi="宋体" w:eastAsia="宋体" w:cs="宋体"/>
                <w:color w:val="000000"/>
                <w:sz w:val="21"/>
              </w:rPr>
              <w:br w:type="textWrapping"/>
            </w:r>
            <w:r>
              <w:rPr>
                <w:rFonts w:ascii="宋体" w:hAnsi="宋体" w:eastAsia="宋体" w:cs="宋体"/>
                <w:color w:val="000000"/>
                <w:sz w:val="21"/>
              </w:rP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4" w:name="JR_PAGE_ANCHOR_0_5"/>
            <w:bookmarkEnd w:id="4"/>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926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值回撤，理财赎回压力增大，持续抛售债券，引发流动性冲击，债市出现第二波下跌。12月下旬，国内疫情感染病例迎来高峰，经济基本面继续探底，且央行加大公开市场投放力度，债市有所回暖。</w:t>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r>
            <w:r>
              <w:rPr>
                <w:rFonts w:ascii="宋体" w:hAnsi="宋体" w:eastAsia="宋体" w:cs="宋体"/>
                <w:color w:val="000000"/>
                <w:sz w:val="21"/>
              </w:rPr>
              <w:br w:type="textWrapping"/>
            </w: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hAnsi="宋体" w:eastAsia="宋体" w:cs="宋体"/>
                <w:color w:val="000000"/>
                <w:sz w:val="21"/>
              </w:rPr>
              <w:br w:type="textWrapping"/>
            </w:r>
            <w:r>
              <w:rPr>
                <w:rFonts w:ascii="宋体" w:hAnsi="宋体" w:eastAsia="宋体" w:cs="宋体"/>
                <w:color w:val="000000"/>
                <w:sz w:val="21"/>
              </w:rPr>
              <w:t>二、2023年一季度展望与投资策略</w:t>
            </w:r>
            <w:r>
              <w:rPr>
                <w:rFonts w:ascii="宋体" w:hAnsi="宋体" w:eastAsia="宋体" w:cs="宋体"/>
                <w:color w:val="000000"/>
                <w:sz w:val="21"/>
              </w:rPr>
              <w:br w:type="textWrapping"/>
            </w:r>
            <w:r>
              <w:rPr>
                <w:rFonts w:ascii="宋体" w:hAnsi="宋体" w:eastAsia="宋体" w:cs="宋体"/>
                <w:color w:val="000000"/>
                <w:sz w:val="21"/>
              </w:rPr>
              <w:t>1、2023年一季度展望</w:t>
            </w:r>
            <w:r>
              <w:rPr>
                <w:rFonts w:ascii="宋体" w:hAnsi="宋体" w:eastAsia="宋体" w:cs="宋体"/>
                <w:color w:val="000000"/>
                <w:sz w:val="21"/>
              </w:rPr>
              <w:br w:type="textWrapping"/>
            </w:r>
            <w:r>
              <w:rPr>
                <w:rFonts w:ascii="宋体" w:hAnsi="宋体" w:eastAsia="宋体" w:cs="宋体"/>
                <w:color w:val="000000"/>
                <w:sz w:val="21"/>
              </w:rP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2"/>
          <w:wAfter w:w="20" w:type="dxa"/>
          <w:trHeight w:val="8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5" w:name="JR_PAGE_ANCHOR_0_6"/>
            <w:bookmarkEnd w:id="5"/>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8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480" w:hRule="atLeast"/>
        </w:trPr>
        <w:tc>
          <w:tcPr>
            <w:tcW w:w="1" w:type="dxa"/>
          </w:tcPr>
          <w:p>
            <w:pPr>
              <w:pStyle w:val="6"/>
            </w:pPr>
          </w:p>
        </w:tc>
        <w:tc>
          <w:tcPr>
            <w:tcW w:w="10700" w:type="dxa"/>
            <w:gridSpan w:val="15"/>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400" w:hRule="exact"/>
        </w:trPr>
        <w:tc>
          <w:tcPr>
            <w:tcW w:w="1" w:type="dxa"/>
          </w:tcPr>
          <w:p>
            <w:pPr>
              <w:pStyle w:val="6"/>
            </w:pPr>
          </w:p>
        </w:tc>
        <w:tc>
          <w:tcPr>
            <w:tcW w:w="20" w:type="dxa"/>
          </w:tcPr>
          <w:p>
            <w:pPr>
              <w:pStyle w:val="6"/>
            </w:pPr>
          </w:p>
        </w:tc>
        <w:tc>
          <w:tcPr>
            <w:tcW w:w="10700" w:type="dxa"/>
            <w:gridSpan w:val="16"/>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96.12</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pPr>
                </w:p>
              </w:tc>
            </w:tr>
          </w:tbl>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0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58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5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20" w:type="dxa"/>
          </w:tcPr>
          <w:p>
            <w:pPr>
              <w:pStyle w:val="6"/>
            </w:pPr>
          </w:p>
        </w:tc>
        <w:tc>
          <w:tcPr>
            <w:tcW w:w="20" w:type="dxa"/>
          </w:tcPr>
          <w:p>
            <w:pPr>
              <w:pStyle w:val="6"/>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6"/>
            </w:pPr>
          </w:p>
        </w:tc>
      </w:tr>
      <w:tr>
        <w:tblPrEx>
          <w:tblCellMar>
            <w:top w:w="0" w:type="dxa"/>
            <w:left w:w="10" w:type="dxa"/>
            <w:bottom w:w="0" w:type="dxa"/>
            <w:right w:w="10" w:type="dxa"/>
          </w:tblCellMar>
        </w:tblPrEx>
        <w:trPr>
          <w:trHeight w:val="1840" w:hRule="exact"/>
        </w:trPr>
        <w:tc>
          <w:tcPr>
            <w:tcW w:w="1" w:type="dxa"/>
          </w:tcPr>
          <w:p>
            <w:pPr>
              <w:pStyle w:val="6"/>
            </w:pPr>
          </w:p>
        </w:tc>
        <w:tc>
          <w:tcPr>
            <w:tcW w:w="20" w:type="dxa"/>
          </w:tcPr>
          <w:p>
            <w:pPr>
              <w:pStyle w:val="6"/>
            </w:pPr>
          </w:p>
        </w:tc>
        <w:tc>
          <w:tcPr>
            <w:tcW w:w="20" w:type="dxa"/>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22鄂交投MTN002</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109,976,993.40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22青岛国信MTN001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104,447,349.02</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5.99</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6" w:name="JR_PAGE_ANCHOR_0_7"/>
            <w:bookmarkEnd w:id="6"/>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800" w:hRule="exact"/>
        </w:trPr>
        <w:tc>
          <w:tcPr>
            <w:tcW w:w="1" w:type="dxa"/>
          </w:tcPr>
          <w:p>
            <w:pPr>
              <w:pStyle w:val="6"/>
            </w:pPr>
          </w:p>
        </w:tc>
        <w:tc>
          <w:tcPr>
            <w:tcW w:w="40" w:type="dxa"/>
            <w:gridSpan w:val="2"/>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20陕金01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99,982,078.33</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22济南城建MTN003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99,979,382.50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22洪轨01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95,337,800.24</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22五资01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89,981,678.30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15投资01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89,834,760.00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22成都环境MTN001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72,037,915.51</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21湘江01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60,181,048.74</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22鲁能源MTN005</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59,262,367.82</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21青岛城投MTN002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22佛公用MTN001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22广新控股MTN002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9K212013</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22兴城投资MTN001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4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7" w:name="JR_PAGE_ANCHOR_0_8"/>
            <w:bookmarkEnd w:id="7"/>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051010100100994375</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96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2023年5月15日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1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6"/>
            </w:pPr>
          </w:p>
        </w:tc>
        <w:tc>
          <w:tcPr>
            <w:tcW w:w="40" w:type="dxa"/>
            <w:gridSpan w:val="4"/>
          </w:tcPr>
          <w:p>
            <w:pPr>
              <w:pStyle w:val="6"/>
            </w:pPr>
          </w:p>
        </w:tc>
        <w:tc>
          <w:tcPr>
            <w:tcW w:w="1" w:type="dxa"/>
          </w:tcPr>
          <w:p>
            <w:pPr>
              <w:pStyle w:val="6"/>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4B0EDC"/>
    <w:rsid w:val="004B0EDC"/>
    <w:rsid w:val="00863813"/>
    <w:rsid w:val="00B32931"/>
    <w:rsid w:val="00F2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uiPriority w:val="99"/>
    <w:pPr>
      <w:tabs>
        <w:tab w:val="center" w:pos="4153"/>
        <w:tab w:val="right" w:pos="8306"/>
      </w:tabs>
      <w:snapToGrid w:val="0"/>
      <w:jc w:val="left"/>
    </w:pPr>
    <w:rPr>
      <w:sz w:val="18"/>
      <w:szCs w:val="18"/>
    </w:rPr>
  </w:style>
  <w:style w:type="paragraph" w:styleId="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5"/>
    <w:link w:val="3"/>
    <w:uiPriority w:val="99"/>
    <w:rPr>
      <w:sz w:val="18"/>
      <w:szCs w:val="18"/>
    </w:rPr>
  </w:style>
  <w:style w:type="character" w:customStyle="1" w:styleId="3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975</Words>
  <Characters>5559</Characters>
  <Lines>46</Lines>
  <Paragraphs>13</Paragraphs>
  <TotalTime>2</TotalTime>
  <ScaleCrop>false</ScaleCrop>
  <LinksUpToDate>false</LinksUpToDate>
  <CharactersWithSpaces>6521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2023-04-28T06:30:00Z</dcterms:created>
  <dc:creator>User</dc:creator>
  <cp:lastModifiedBy>cib</cp:lastModifiedBy>
  <dcterms:modified xsi:type="dcterms:W3CDTF">2023-04-28T08:47:40Z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