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兴银理财灵动全天候2号净值型理财产品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262,001,535.61份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灵动陆陆通1号A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218,924,048.58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灵动陆陆通1号B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43,077,487.03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产品9K212152自成立日以来，累计净值增长率为5.6860%，年化累计净值增长率为2.5910%。</w:t>
              <w:br/>
              <w:t xml:space="preserve">产品9K212252自成立日以来，累计净值增长率为5.9010%，年化累计净值增长率为2.6890%。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276,990,458.36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231,370,986.88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45,619,471.48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是全年发生了很多超预期的宏观利空事件，如俄乌战争、疫情反复、美联储超预期加息、地产持续暴雷等，对于投资的考验较大。本报告期内，本组合积极调整债券持仓，利用利率衍生品对冲久期风险，此外对权益资产进行积极调整行业结构并进行一定的择时操作。本组合净值在本报告期内相对表现较好。</w:t>
              <w:br/>
              <w:t xml:space="preserve">    展望明年一季度，内外部环境都边际好转，有利于资产价格，中长期看好权益市场，债市收益率虽然可能会震荡中走高但是绝对收益率和信用利差扩大后具有配置价值。本组合将继续积极主动管理好大类资产的配置策略并精细化选择类属资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100,266,109.11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50,000,195.00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20北城01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20,113,000.00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20北仑02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20,083,100.00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22晋焦煤MTN002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9,799,240.00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22招商局MTN004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9,721,670.00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22普陀城投MTN001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9,483,530.00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5,042,130.00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21晋陵01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5,029,580.00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22香城投资CP001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4,990,585.00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22晋焦煤MTN002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22香城投资CP001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051010100101097621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